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892F6">
      <w:pPr>
        <w:spacing w:line="360" w:lineRule="auto"/>
        <w:jc w:val="center"/>
        <w:rPr>
          <w:sz w:val="24"/>
          <w:szCs w:val="24"/>
          <w:highlight w:val="yellow"/>
        </w:rPr>
      </w:pPr>
      <w:bookmarkStart w:id="1" w:name="_GoBack"/>
      <w:bookmarkEnd w:id="1"/>
      <w:r>
        <w:rPr>
          <w:rFonts w:ascii="宋体" w:eastAsia="宋体" w:cs="宋体"/>
          <w:kern w:val="0"/>
          <w:sz w:val="40"/>
          <w:szCs w:val="40"/>
        </w:rPr>
        <w:t>20</w:t>
      </w:r>
      <w:r>
        <w:rPr>
          <w:rFonts w:hint="eastAsia" w:ascii="宋体" w:eastAsia="宋体" w:cs="宋体"/>
          <w:kern w:val="0"/>
          <w:sz w:val="40"/>
          <w:szCs w:val="40"/>
        </w:rPr>
        <w:t>26年度湖南省自然科学奖提名公示材料</w:t>
      </w:r>
    </w:p>
    <w:p w14:paraId="342B7701">
      <w:pPr>
        <w:spacing w:line="360" w:lineRule="auto"/>
        <w:rPr>
          <w:b/>
          <w:sz w:val="24"/>
          <w:szCs w:val="24"/>
        </w:rPr>
      </w:pPr>
    </w:p>
    <w:p w14:paraId="568C6A1C">
      <w:pPr>
        <w:spacing w:line="360" w:lineRule="auto"/>
        <w:rPr>
          <w:rFonts w:ascii="Times New Roman" w:hAnsi="Times New Roman" w:cs="Times New Roman"/>
          <w:b/>
          <w:sz w:val="24"/>
          <w:szCs w:val="24"/>
        </w:rPr>
      </w:pPr>
      <w:r>
        <w:rPr>
          <w:rFonts w:ascii="Times New Roman" w:hAnsi="宋体" w:cs="Times New Roman"/>
          <w:b/>
          <w:sz w:val="24"/>
          <w:szCs w:val="24"/>
        </w:rPr>
        <w:t>一、项目名称：</w:t>
      </w:r>
    </w:p>
    <w:p w14:paraId="094D04A1">
      <w:pPr>
        <w:spacing w:before="156" w:beforeLines="50" w:line="360" w:lineRule="auto"/>
        <w:rPr>
          <w:rFonts w:hint="eastAsia" w:ascii="Times New Roman" w:hAnsi="宋体" w:cs="Times New Roman"/>
          <w:sz w:val="24"/>
          <w:szCs w:val="24"/>
        </w:rPr>
      </w:pPr>
      <w:r>
        <w:rPr>
          <w:rFonts w:hint="eastAsia" w:ascii="Times New Roman" w:hAnsi="宋体" w:cs="Times New Roman"/>
          <w:sz w:val="24"/>
          <w:szCs w:val="24"/>
        </w:rPr>
        <w:t>羊肉用性状关键功能基因的挖掘及其在分子育种中的应用</w:t>
      </w:r>
    </w:p>
    <w:p w14:paraId="5C5BAB34">
      <w:pPr>
        <w:spacing w:before="156" w:beforeLines="50" w:line="360" w:lineRule="auto"/>
        <w:rPr>
          <w:rFonts w:hint="eastAsia" w:ascii="Times New Roman" w:hAnsi="宋体" w:cs="Times New Roman"/>
          <w:sz w:val="24"/>
          <w:szCs w:val="24"/>
        </w:rPr>
      </w:pPr>
      <w:r>
        <w:rPr>
          <w:rFonts w:ascii="Times New Roman" w:hAnsi="宋体" w:cs="Times New Roman"/>
          <w:b/>
          <w:sz w:val="24"/>
          <w:szCs w:val="24"/>
        </w:rPr>
        <w:t>二、提名意见：</w:t>
      </w:r>
    </w:p>
    <w:p w14:paraId="2536DCC5">
      <w:pPr>
        <w:pStyle w:val="2"/>
        <w:ind w:firstLine="480" w:firstLineChars="200"/>
        <w:rPr>
          <w:rFonts w:hint="eastAsia" w:ascii="Times New Roman" w:hAnsi="宋体" w:cs="Times New Roman"/>
          <w:sz w:val="24"/>
          <w:szCs w:val="24"/>
        </w:rPr>
      </w:pPr>
      <w:r>
        <w:rPr>
          <w:rFonts w:hint="eastAsia" w:ascii="Times New Roman" w:hAnsi="宋体" w:cs="Times New Roman"/>
          <w:sz w:val="24"/>
          <w:szCs w:val="24"/>
          <w:lang w:val="en-US" w:eastAsia="zh-CN"/>
        </w:rPr>
        <w:t>该</w:t>
      </w:r>
      <w:r>
        <w:rPr>
          <w:rFonts w:ascii="Times New Roman" w:hAnsi="宋体" w:cs="Times New Roman"/>
          <w:sz w:val="24"/>
          <w:szCs w:val="24"/>
        </w:rPr>
        <w:t>项目基于前期对全世界的山羊和绵羊的群体遗传学研究，</w:t>
      </w:r>
      <w:r>
        <w:rPr>
          <w:rFonts w:hint="eastAsia" w:ascii="Times New Roman" w:hAnsi="宋体" w:cs="Times New Roman"/>
          <w:sz w:val="24"/>
          <w:szCs w:val="24"/>
        </w:rPr>
        <w:t>对遗传</w:t>
      </w:r>
      <w:r>
        <w:rPr>
          <w:rFonts w:ascii="Times New Roman" w:hAnsi="宋体" w:cs="Times New Roman"/>
          <w:sz w:val="24"/>
          <w:szCs w:val="24"/>
        </w:rPr>
        <w:t>多样性、基因选择信号、羊亚群分类等系统全面分析，立足于我国丰富多样的南北方地方羊品种重要经济性状</w:t>
      </w:r>
      <w:r>
        <w:rPr>
          <w:rFonts w:hint="eastAsia" w:ascii="Times New Roman" w:hAnsi="宋体" w:cs="Times New Roman"/>
          <w:sz w:val="24"/>
          <w:szCs w:val="24"/>
          <w:lang w:val="en-US" w:eastAsia="zh-CN"/>
        </w:rPr>
        <w:t>相关功能基因及</w:t>
      </w:r>
      <w:r>
        <w:rPr>
          <w:rFonts w:ascii="Times New Roman" w:hAnsi="宋体" w:cs="Times New Roman"/>
          <w:sz w:val="24"/>
          <w:szCs w:val="24"/>
        </w:rPr>
        <w:t>遗传变异</w:t>
      </w:r>
      <w:r>
        <w:rPr>
          <w:rFonts w:hint="eastAsia" w:ascii="Times New Roman" w:hAnsi="宋体" w:cs="Times New Roman"/>
          <w:sz w:val="24"/>
          <w:szCs w:val="24"/>
          <w:lang w:val="en-US" w:eastAsia="zh-CN"/>
        </w:rPr>
        <w:t>不明晰</w:t>
      </w:r>
      <w:r>
        <w:rPr>
          <w:rFonts w:ascii="Times New Roman" w:hAnsi="宋体" w:cs="Times New Roman"/>
          <w:sz w:val="24"/>
          <w:szCs w:val="24"/>
        </w:rPr>
        <w:t>的关键瓶颈，围绕山羊和绵羊的肉用性状等重要经济性状遗传基础及地方品种资源评价，综合运用全基因组重测序、群体基因组分析与GWAS等手段，深入开展北方羊与湖南羊（湘东黑山羊、壶天石羊）群体的遗传分化、选择信号与肉质营养特征解析；进而通过与非洲地方肉山</w:t>
      </w:r>
      <w:r>
        <w:rPr>
          <w:rFonts w:ascii="Times New Roman" w:hAnsi="宋体" w:cs="Times New Roman"/>
          <w:sz w:val="24"/>
          <w:szCs w:val="24"/>
          <w:highlight w:val="none"/>
        </w:rPr>
        <w:t>羊进行跨洲际比对，系统挖掘出一批关键候选基因，不仅</w:t>
      </w:r>
      <w:r>
        <w:rPr>
          <w:rFonts w:hint="eastAsia" w:ascii="Times New Roman" w:hAnsi="宋体" w:cs="Times New Roman"/>
          <w:sz w:val="24"/>
          <w:szCs w:val="24"/>
          <w:highlight w:val="none"/>
          <w:lang w:val="en-US" w:eastAsia="zh-CN"/>
        </w:rPr>
        <w:t>挖掘到</w:t>
      </w:r>
      <w:r>
        <w:rPr>
          <w:rFonts w:ascii="Times New Roman" w:hAnsi="宋体" w:cs="Times New Roman"/>
          <w:sz w:val="24"/>
          <w:szCs w:val="24"/>
          <w:highlight w:val="none"/>
        </w:rPr>
        <w:t xml:space="preserve"> </w:t>
      </w:r>
      <w:r>
        <w:rPr>
          <w:rFonts w:ascii="Times New Roman" w:hAnsi="宋体" w:cs="Times New Roman"/>
          <w:i/>
          <w:iCs/>
          <w:sz w:val="24"/>
          <w:szCs w:val="24"/>
          <w:highlight w:val="none"/>
        </w:rPr>
        <w:t>IGF1</w:t>
      </w:r>
      <w:r>
        <w:rPr>
          <w:rFonts w:hint="eastAsia" w:ascii="Times New Roman" w:hAnsi="宋体" w:cs="Times New Roman"/>
          <w:sz w:val="24"/>
          <w:szCs w:val="24"/>
          <w:highlight w:val="none"/>
          <w:lang w:val="en-US" w:eastAsia="zh-CN"/>
        </w:rPr>
        <w:t>和</w:t>
      </w:r>
      <w:r>
        <w:rPr>
          <w:rFonts w:ascii="Times New Roman" w:hAnsi="宋体" w:cs="Times New Roman"/>
          <w:i/>
          <w:iCs/>
          <w:sz w:val="24"/>
          <w:szCs w:val="24"/>
          <w:highlight w:val="none"/>
        </w:rPr>
        <w:t>CAPN3</w:t>
      </w:r>
      <w:r>
        <w:rPr>
          <w:rFonts w:hint="eastAsia" w:ascii="Times New Roman" w:hAnsi="宋体" w:cs="Times New Roman"/>
          <w:i w:val="0"/>
          <w:iCs w:val="0"/>
          <w:sz w:val="24"/>
          <w:szCs w:val="24"/>
          <w:highlight w:val="none"/>
          <w:lang w:val="en-US" w:eastAsia="zh-CN"/>
        </w:rPr>
        <w:t>等</w:t>
      </w:r>
      <w:r>
        <w:rPr>
          <w:rFonts w:ascii="Times New Roman" w:hAnsi="宋体" w:cs="Times New Roman"/>
          <w:sz w:val="24"/>
          <w:szCs w:val="24"/>
          <w:highlight w:val="none"/>
        </w:rPr>
        <w:t>驱动肌肉发育</w:t>
      </w:r>
      <w:r>
        <w:rPr>
          <w:rFonts w:hint="eastAsia" w:ascii="Times New Roman" w:hAnsi="宋体" w:cs="Times New Roman"/>
          <w:sz w:val="24"/>
          <w:szCs w:val="24"/>
          <w:highlight w:val="none"/>
          <w:lang w:val="en-US" w:eastAsia="zh-CN"/>
        </w:rPr>
        <w:t>的关键基因，还鉴定了</w:t>
      </w:r>
      <w:r>
        <w:rPr>
          <w:rFonts w:hint="eastAsia" w:ascii="Times New Roman" w:hAnsi="宋体" w:cs="Times New Roman"/>
          <w:i/>
          <w:iCs/>
          <w:sz w:val="24"/>
          <w:szCs w:val="24"/>
          <w:highlight w:val="none"/>
          <w:lang w:val="en-US" w:eastAsia="zh-CN"/>
        </w:rPr>
        <w:t>SNX29</w:t>
      </w:r>
      <w:r>
        <w:rPr>
          <w:rFonts w:hint="eastAsia" w:ascii="Times New Roman" w:hAnsi="宋体" w:cs="Times New Roman"/>
          <w:sz w:val="24"/>
          <w:szCs w:val="24"/>
          <w:highlight w:val="none"/>
          <w:lang w:val="en-US" w:eastAsia="zh-CN"/>
        </w:rPr>
        <w:t>和</w:t>
      </w:r>
      <w:r>
        <w:rPr>
          <w:rFonts w:ascii="Times New Roman" w:hAnsi="宋体" w:cs="Times New Roman"/>
          <w:i/>
          <w:iCs/>
          <w:sz w:val="24"/>
          <w:szCs w:val="24"/>
          <w:highlight w:val="none"/>
        </w:rPr>
        <w:t>PPP3CA</w:t>
      </w:r>
      <w:r>
        <w:rPr>
          <w:rFonts w:hint="eastAsia" w:ascii="Times New Roman" w:hAnsi="宋体" w:cs="Times New Roman"/>
          <w:i w:val="0"/>
          <w:iCs w:val="0"/>
          <w:sz w:val="24"/>
          <w:szCs w:val="24"/>
          <w:highlight w:val="none"/>
          <w:lang w:val="en-US" w:eastAsia="zh-CN"/>
        </w:rPr>
        <w:t>等</w:t>
      </w:r>
      <w:r>
        <w:rPr>
          <w:rFonts w:ascii="Times New Roman" w:hAnsi="宋体" w:cs="Times New Roman"/>
          <w:sz w:val="24"/>
          <w:szCs w:val="24"/>
          <w:highlight w:val="none"/>
        </w:rPr>
        <w:t>影响生长发育</w:t>
      </w:r>
      <w:r>
        <w:rPr>
          <w:rFonts w:hint="eastAsia" w:ascii="Times New Roman" w:hAnsi="宋体" w:cs="Times New Roman"/>
          <w:sz w:val="24"/>
          <w:szCs w:val="24"/>
          <w:highlight w:val="none"/>
          <w:lang w:val="en-US" w:eastAsia="zh-CN"/>
        </w:rPr>
        <w:t>的关键基因遗传变异</w:t>
      </w:r>
      <w:r>
        <w:rPr>
          <w:rFonts w:ascii="Times New Roman" w:hAnsi="宋体" w:cs="Times New Roman"/>
          <w:sz w:val="24"/>
          <w:szCs w:val="24"/>
        </w:rPr>
        <w:t>；尤为突出的是，项目聚焦于主效候选基因</w:t>
      </w:r>
      <w:r>
        <w:rPr>
          <w:rFonts w:ascii="Times New Roman" w:hAnsi="宋体" w:cs="Times New Roman"/>
          <w:i/>
          <w:iCs/>
          <w:sz w:val="24"/>
          <w:szCs w:val="24"/>
        </w:rPr>
        <w:t>SNX29</w:t>
      </w:r>
      <w:r>
        <w:rPr>
          <w:rFonts w:hint="eastAsia" w:ascii="Times New Roman" w:hAnsi="宋体" w:cs="Times New Roman"/>
          <w:sz w:val="24"/>
          <w:szCs w:val="24"/>
          <w:lang w:eastAsia="zh-CN"/>
        </w:rPr>
        <w:t>，率</w:t>
      </w:r>
      <w:r>
        <w:rPr>
          <w:rFonts w:ascii="Times New Roman" w:hAnsi="宋体" w:cs="Times New Roman"/>
          <w:sz w:val="24"/>
          <w:szCs w:val="24"/>
        </w:rPr>
        <w:t>先在非洲肉山羊中发现其CNV显著关联骨骼生长性状，</w:t>
      </w:r>
      <w:r>
        <w:rPr>
          <w:rFonts w:hint="eastAsia" w:ascii="Times New Roman" w:hAnsi="宋体" w:cs="Times New Roman"/>
          <w:sz w:val="24"/>
          <w:szCs w:val="24"/>
          <w:lang w:val="en-US" w:eastAsia="zh-CN"/>
        </w:rPr>
        <w:t>并</w:t>
      </w:r>
      <w:r>
        <w:rPr>
          <w:rFonts w:ascii="Times New Roman" w:hAnsi="宋体" w:cs="Times New Roman"/>
          <w:sz w:val="24"/>
          <w:szCs w:val="24"/>
        </w:rPr>
        <w:t>在我国北方白绒山羊与南方黑山羊大群体中精准鉴定出</w:t>
      </w:r>
      <w:r>
        <w:rPr>
          <w:rFonts w:hint="eastAsia" w:ascii="Times New Roman" w:hAnsi="宋体" w:cs="Times New Roman"/>
          <w:sz w:val="24"/>
          <w:szCs w:val="24"/>
          <w:lang w:val="en-US" w:eastAsia="zh-CN"/>
        </w:rPr>
        <w:t>关键</w:t>
      </w:r>
      <w:r>
        <w:rPr>
          <w:rFonts w:ascii="Times New Roman" w:hAnsi="宋体" w:cs="Times New Roman"/>
          <w:sz w:val="24"/>
          <w:szCs w:val="24"/>
        </w:rPr>
        <w:t>Indel及CNV变异</w:t>
      </w:r>
      <w:r>
        <w:rPr>
          <w:rFonts w:hint="eastAsia" w:ascii="Times New Roman" w:hAnsi="宋体" w:cs="Times New Roman"/>
          <w:sz w:val="24"/>
          <w:szCs w:val="24"/>
          <w:lang w:eastAsia="zh-CN"/>
        </w:rPr>
        <w:t>，</w:t>
      </w:r>
      <w:r>
        <w:rPr>
          <w:rFonts w:hint="eastAsia" w:ascii="Times New Roman" w:hAnsi="宋体" w:cs="Times New Roman"/>
          <w:sz w:val="24"/>
          <w:szCs w:val="24"/>
          <w:lang w:val="en-US" w:eastAsia="zh-CN"/>
        </w:rPr>
        <w:t>发现</w:t>
      </w:r>
      <w:r>
        <w:rPr>
          <w:rFonts w:ascii="Times New Roman" w:hAnsi="宋体" w:cs="Times New Roman"/>
          <w:sz w:val="24"/>
          <w:szCs w:val="24"/>
        </w:rPr>
        <w:t>其与体重、胸围、腹围等生长指标显著</w:t>
      </w:r>
      <w:r>
        <w:rPr>
          <w:rFonts w:hint="eastAsia" w:ascii="Times New Roman" w:hAnsi="宋体" w:cs="Times New Roman"/>
          <w:sz w:val="24"/>
          <w:szCs w:val="24"/>
          <w:lang w:val="en-US" w:eastAsia="zh-CN"/>
        </w:rPr>
        <w:t>关联</w:t>
      </w:r>
      <w:r>
        <w:rPr>
          <w:rFonts w:ascii="Times New Roman" w:hAnsi="宋体" w:cs="Times New Roman"/>
          <w:sz w:val="24"/>
          <w:szCs w:val="24"/>
        </w:rPr>
        <w:t>，相关成果</w:t>
      </w:r>
      <w:r>
        <w:rPr>
          <w:rFonts w:hint="eastAsia" w:ascii="Times New Roman" w:hAnsi="宋体" w:cs="Times New Roman"/>
          <w:sz w:val="24"/>
          <w:szCs w:val="24"/>
          <w:lang w:val="en-US" w:eastAsia="zh-CN"/>
        </w:rPr>
        <w:t>鉴定了</w:t>
      </w:r>
      <w:r>
        <w:rPr>
          <w:rFonts w:ascii="Times New Roman" w:hAnsi="宋体" w:cs="Times New Roman"/>
          <w:i/>
          <w:iCs/>
          <w:sz w:val="24"/>
          <w:szCs w:val="24"/>
        </w:rPr>
        <w:t>SNX29</w:t>
      </w:r>
      <w:r>
        <w:rPr>
          <w:rFonts w:hint="eastAsia" w:ascii="Times New Roman" w:hAnsi="宋体" w:cs="Times New Roman"/>
          <w:i w:val="0"/>
          <w:iCs w:val="0"/>
          <w:sz w:val="24"/>
          <w:szCs w:val="24"/>
          <w:lang w:val="en-US" w:eastAsia="zh-CN"/>
        </w:rPr>
        <w:t>等</w:t>
      </w:r>
      <w:r>
        <w:rPr>
          <w:rFonts w:ascii="Times New Roman" w:hAnsi="宋体" w:cs="Times New Roman"/>
          <w:sz w:val="24"/>
          <w:szCs w:val="24"/>
        </w:rPr>
        <w:t>高价值分子标记，</w:t>
      </w:r>
      <w:r>
        <w:rPr>
          <w:rFonts w:hint="eastAsia" w:ascii="Times New Roman" w:hAnsi="宋体" w:cs="Times New Roman"/>
          <w:sz w:val="24"/>
          <w:szCs w:val="24"/>
          <w:lang w:val="en-US" w:eastAsia="zh-CN"/>
        </w:rPr>
        <w:t>为地方羊育种工作中开展基于关键基因</w:t>
      </w:r>
      <w:r>
        <w:rPr>
          <w:rFonts w:ascii="Times New Roman" w:hAnsi="宋体" w:cs="Times New Roman"/>
          <w:sz w:val="24"/>
          <w:szCs w:val="24"/>
        </w:rPr>
        <w:t>遗传变异</w:t>
      </w:r>
      <w:r>
        <w:rPr>
          <w:rFonts w:hint="eastAsia" w:ascii="Times New Roman" w:hAnsi="宋体" w:cs="Times New Roman"/>
          <w:sz w:val="24"/>
          <w:szCs w:val="24"/>
          <w:lang w:val="en-US" w:eastAsia="zh-CN"/>
        </w:rPr>
        <w:t>的</w:t>
      </w:r>
      <w:r>
        <w:rPr>
          <w:rFonts w:ascii="Times New Roman" w:hAnsi="宋体" w:cs="Times New Roman"/>
          <w:sz w:val="24"/>
          <w:szCs w:val="24"/>
        </w:rPr>
        <w:t>分子标记辅助选择育种</w:t>
      </w:r>
      <w:r>
        <w:rPr>
          <w:rFonts w:hint="eastAsia" w:ascii="Times New Roman" w:hAnsi="宋体" w:cs="Times New Roman"/>
          <w:sz w:val="24"/>
          <w:szCs w:val="24"/>
          <w:lang w:val="en-US" w:eastAsia="zh-CN"/>
        </w:rPr>
        <w:t>奠定基础</w:t>
      </w:r>
      <w:r>
        <w:rPr>
          <w:rFonts w:ascii="Times New Roman" w:hAnsi="宋体" w:cs="Times New Roman"/>
          <w:sz w:val="24"/>
          <w:szCs w:val="24"/>
        </w:rPr>
        <w:t>，为羊重要经济性状遗传改良和地方种质资源保护利用提供了新</w:t>
      </w:r>
      <w:r>
        <w:rPr>
          <w:rFonts w:hint="eastAsia" w:ascii="Times New Roman" w:hAnsi="宋体" w:cs="Times New Roman"/>
          <w:sz w:val="24"/>
          <w:szCs w:val="24"/>
          <w:lang w:val="en-US" w:eastAsia="zh-CN"/>
        </w:rPr>
        <w:t>的科学</w:t>
      </w:r>
      <w:r>
        <w:rPr>
          <w:rFonts w:ascii="Times New Roman" w:hAnsi="宋体" w:cs="Times New Roman"/>
          <w:sz w:val="24"/>
          <w:szCs w:val="24"/>
        </w:rPr>
        <w:t>依据。</w:t>
      </w:r>
    </w:p>
    <w:p w14:paraId="60EF150C">
      <w:pPr>
        <w:pStyle w:val="2"/>
        <w:ind w:firstLine="480" w:firstLineChars="200"/>
        <w:rPr>
          <w:rFonts w:hint="eastAsia" w:ascii="Times New Roman" w:hAnsi="宋体" w:cs="Times New Roman"/>
          <w:sz w:val="24"/>
          <w:szCs w:val="24"/>
        </w:rPr>
      </w:pPr>
      <w:r>
        <w:rPr>
          <w:rFonts w:ascii="Times New Roman" w:hAnsi="宋体" w:cs="Times New Roman"/>
          <w:sz w:val="24"/>
          <w:szCs w:val="24"/>
        </w:rPr>
        <w:t>项目研究系统性</w:t>
      </w:r>
      <w:r>
        <w:rPr>
          <w:rFonts w:hint="eastAsia" w:ascii="Times New Roman" w:hAnsi="宋体" w:cs="Times New Roman"/>
          <w:sz w:val="24"/>
          <w:szCs w:val="24"/>
          <w:lang w:val="en-US" w:eastAsia="zh-CN"/>
        </w:rPr>
        <w:t>强，</w:t>
      </w:r>
      <w:r>
        <w:rPr>
          <w:rFonts w:ascii="Times New Roman" w:hAnsi="宋体" w:cs="Times New Roman"/>
          <w:sz w:val="24"/>
          <w:szCs w:val="24"/>
        </w:rPr>
        <w:t>创新性突出，成果得到同行关注，丰富了羊基因组</w:t>
      </w:r>
      <w:r>
        <w:rPr>
          <w:rFonts w:hint="eastAsia" w:ascii="Times New Roman" w:hAnsi="宋体" w:cs="Times New Roman"/>
          <w:sz w:val="24"/>
          <w:szCs w:val="24"/>
          <w:lang w:val="en-US" w:eastAsia="zh-CN"/>
        </w:rPr>
        <w:t>遗传</w:t>
      </w:r>
      <w:r>
        <w:rPr>
          <w:rFonts w:ascii="Times New Roman" w:hAnsi="宋体" w:cs="Times New Roman"/>
          <w:sz w:val="24"/>
          <w:szCs w:val="24"/>
        </w:rPr>
        <w:t>变异与经济性状遗传基础研究。该项目符合《湖南省科学技术奖励办法》申报条件，特此推荐申报湖南省自然科学二等奖。</w:t>
      </w:r>
    </w:p>
    <w:p w14:paraId="62A19C9C">
      <w:pPr>
        <w:pStyle w:val="2"/>
        <w:rPr>
          <w:b/>
          <w:sz w:val="24"/>
          <w:szCs w:val="24"/>
        </w:rPr>
      </w:pPr>
      <w:r>
        <w:rPr>
          <w:rFonts w:hint="eastAsia"/>
          <w:b/>
          <w:sz w:val="24"/>
          <w:szCs w:val="24"/>
        </w:rPr>
        <w:t>三、代表作及论文</w:t>
      </w:r>
      <w:r>
        <w:rPr>
          <w:b/>
          <w:sz w:val="24"/>
          <w:szCs w:val="24"/>
        </w:rPr>
        <w:t>目录</w:t>
      </w:r>
      <w:r>
        <w:rPr>
          <w:rFonts w:hint="eastAsia"/>
          <w:b/>
          <w:sz w:val="24"/>
          <w:szCs w:val="24"/>
        </w:rPr>
        <w:t>：</w:t>
      </w:r>
    </w:p>
    <w:tbl>
      <w:tblPr>
        <w:tblStyle w:val="10"/>
        <w:tblW w:w="954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531"/>
        <w:gridCol w:w="967"/>
        <w:gridCol w:w="983"/>
        <w:gridCol w:w="822"/>
        <w:gridCol w:w="886"/>
        <w:gridCol w:w="1144"/>
        <w:gridCol w:w="790"/>
        <w:gridCol w:w="823"/>
        <w:gridCol w:w="981"/>
      </w:tblGrid>
      <w:tr w14:paraId="77C41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618" w:type="dxa"/>
            <w:vAlign w:val="center"/>
          </w:tcPr>
          <w:p w14:paraId="26D1A6CB">
            <w:pPr>
              <w:pStyle w:val="7"/>
              <w:spacing w:line="240" w:lineRule="auto"/>
              <w:ind w:firstLine="0" w:firstLineChars="0"/>
              <w:jc w:val="center"/>
              <w:outlineLvl w:val="1"/>
              <w:rPr>
                <w:rFonts w:ascii="Times New Roman"/>
                <w:sz w:val="21"/>
                <w:szCs w:val="28"/>
              </w:rPr>
            </w:pPr>
            <w:bookmarkStart w:id="0" w:name="_Hlk244098298"/>
            <w:r>
              <w:rPr>
                <w:rFonts w:ascii="Times New Roman"/>
                <w:sz w:val="21"/>
                <w:szCs w:val="28"/>
              </w:rPr>
              <w:t>序号</w:t>
            </w:r>
          </w:p>
        </w:tc>
        <w:tc>
          <w:tcPr>
            <w:tcW w:w="1531" w:type="dxa"/>
            <w:vAlign w:val="center"/>
          </w:tcPr>
          <w:p w14:paraId="20F691B7">
            <w:pPr>
              <w:pStyle w:val="7"/>
              <w:spacing w:line="240" w:lineRule="auto"/>
              <w:ind w:firstLine="0" w:firstLineChars="0"/>
              <w:jc w:val="center"/>
              <w:outlineLvl w:val="1"/>
              <w:rPr>
                <w:rFonts w:ascii="Times New Roman"/>
                <w:sz w:val="21"/>
                <w:szCs w:val="28"/>
              </w:rPr>
            </w:pPr>
            <w:r>
              <w:rPr>
                <w:rFonts w:ascii="Times New Roman"/>
                <w:sz w:val="21"/>
                <w:szCs w:val="28"/>
              </w:rPr>
              <w:t>代表作名称/刊名/作者</w:t>
            </w:r>
          </w:p>
        </w:tc>
        <w:tc>
          <w:tcPr>
            <w:tcW w:w="967" w:type="dxa"/>
            <w:vAlign w:val="center"/>
          </w:tcPr>
          <w:p w14:paraId="5B65329C">
            <w:pPr>
              <w:pStyle w:val="7"/>
              <w:spacing w:line="240" w:lineRule="auto"/>
              <w:ind w:firstLine="0" w:firstLineChars="0"/>
              <w:jc w:val="center"/>
              <w:outlineLvl w:val="1"/>
              <w:rPr>
                <w:rFonts w:ascii="Times New Roman"/>
                <w:sz w:val="21"/>
                <w:szCs w:val="28"/>
              </w:rPr>
            </w:pPr>
            <w:r>
              <w:rPr>
                <w:rFonts w:ascii="Times New Roman"/>
                <w:sz w:val="21"/>
                <w:szCs w:val="28"/>
              </w:rPr>
              <w:t>年卷页码</w:t>
            </w:r>
          </w:p>
          <w:p w14:paraId="20BF8CE5">
            <w:pPr>
              <w:pStyle w:val="7"/>
              <w:spacing w:line="240" w:lineRule="auto"/>
              <w:ind w:firstLine="0" w:firstLineChars="0"/>
              <w:jc w:val="center"/>
              <w:outlineLvl w:val="1"/>
              <w:rPr>
                <w:rFonts w:ascii="Times New Roman"/>
                <w:sz w:val="21"/>
                <w:szCs w:val="28"/>
              </w:rPr>
            </w:pPr>
            <w:r>
              <w:rPr>
                <w:rFonts w:ascii="Times New Roman"/>
                <w:sz w:val="21"/>
                <w:szCs w:val="28"/>
              </w:rPr>
              <w:t>（xx年xx卷</w:t>
            </w:r>
          </w:p>
          <w:p w14:paraId="5B5164BE">
            <w:pPr>
              <w:pStyle w:val="7"/>
              <w:spacing w:line="240" w:lineRule="auto"/>
              <w:ind w:firstLine="0" w:firstLineChars="0"/>
              <w:jc w:val="center"/>
              <w:outlineLvl w:val="1"/>
              <w:rPr>
                <w:rFonts w:ascii="Times New Roman"/>
                <w:sz w:val="21"/>
                <w:szCs w:val="28"/>
              </w:rPr>
            </w:pPr>
            <w:r>
              <w:rPr>
                <w:rFonts w:ascii="Times New Roman"/>
                <w:sz w:val="21"/>
                <w:szCs w:val="28"/>
              </w:rPr>
              <w:t>xx页）</w:t>
            </w:r>
          </w:p>
        </w:tc>
        <w:tc>
          <w:tcPr>
            <w:tcW w:w="983" w:type="dxa"/>
            <w:vAlign w:val="center"/>
          </w:tcPr>
          <w:p w14:paraId="6A9536A5">
            <w:pPr>
              <w:pStyle w:val="7"/>
              <w:spacing w:line="240" w:lineRule="auto"/>
              <w:ind w:firstLine="0" w:firstLineChars="0"/>
              <w:jc w:val="center"/>
              <w:outlineLvl w:val="1"/>
              <w:rPr>
                <w:rFonts w:ascii="Times New Roman"/>
                <w:sz w:val="21"/>
                <w:szCs w:val="28"/>
              </w:rPr>
            </w:pPr>
            <w:r>
              <w:rPr>
                <w:rFonts w:ascii="Times New Roman"/>
                <w:sz w:val="21"/>
                <w:szCs w:val="28"/>
              </w:rPr>
              <w:t>发表时间</w:t>
            </w:r>
            <w:r>
              <w:rPr>
                <w:rFonts w:ascii="Times New Roman" w:eastAsia="黑体"/>
                <w:sz w:val="21"/>
                <w:szCs w:val="28"/>
              </w:rPr>
              <w:t>（</w:t>
            </w:r>
            <w:r>
              <w:rPr>
                <w:rFonts w:ascii="Times New Roman"/>
                <w:sz w:val="21"/>
                <w:szCs w:val="28"/>
              </w:rPr>
              <w:t>年月 日）</w:t>
            </w:r>
          </w:p>
        </w:tc>
        <w:tc>
          <w:tcPr>
            <w:tcW w:w="822" w:type="dxa"/>
            <w:vAlign w:val="center"/>
          </w:tcPr>
          <w:p w14:paraId="733E06DD">
            <w:pPr>
              <w:pStyle w:val="7"/>
              <w:spacing w:line="240" w:lineRule="auto"/>
              <w:ind w:firstLine="0" w:firstLineChars="0"/>
              <w:jc w:val="center"/>
              <w:outlineLvl w:val="1"/>
              <w:rPr>
                <w:rFonts w:ascii="Times New Roman"/>
                <w:sz w:val="21"/>
                <w:szCs w:val="28"/>
              </w:rPr>
            </w:pPr>
            <w:r>
              <w:rPr>
                <w:rFonts w:ascii="Times New Roman"/>
                <w:sz w:val="21"/>
                <w:szCs w:val="28"/>
              </w:rPr>
              <w:t>通讯作者（含共同）</w:t>
            </w:r>
          </w:p>
        </w:tc>
        <w:tc>
          <w:tcPr>
            <w:tcW w:w="886" w:type="dxa"/>
            <w:vAlign w:val="center"/>
          </w:tcPr>
          <w:p w14:paraId="10E77F2F">
            <w:pPr>
              <w:pStyle w:val="7"/>
              <w:spacing w:line="240" w:lineRule="auto"/>
              <w:ind w:firstLine="0" w:firstLineChars="0"/>
              <w:jc w:val="center"/>
              <w:outlineLvl w:val="1"/>
              <w:rPr>
                <w:rFonts w:ascii="Times New Roman"/>
                <w:sz w:val="21"/>
                <w:szCs w:val="28"/>
              </w:rPr>
            </w:pPr>
            <w:r>
              <w:rPr>
                <w:rFonts w:ascii="Times New Roman"/>
                <w:sz w:val="21"/>
                <w:szCs w:val="28"/>
              </w:rPr>
              <w:t>第一作者（含共同）</w:t>
            </w:r>
          </w:p>
        </w:tc>
        <w:tc>
          <w:tcPr>
            <w:tcW w:w="1144" w:type="dxa"/>
            <w:vAlign w:val="center"/>
          </w:tcPr>
          <w:p w14:paraId="751F0C9A">
            <w:pPr>
              <w:pStyle w:val="7"/>
              <w:spacing w:line="240" w:lineRule="auto"/>
              <w:ind w:firstLine="0" w:firstLineChars="0"/>
              <w:jc w:val="center"/>
              <w:outlineLvl w:val="1"/>
              <w:rPr>
                <w:rFonts w:ascii="Times New Roman"/>
                <w:sz w:val="21"/>
                <w:szCs w:val="28"/>
              </w:rPr>
            </w:pPr>
            <w:r>
              <w:rPr>
                <w:rFonts w:ascii="Times New Roman"/>
                <w:sz w:val="21"/>
                <w:szCs w:val="28"/>
              </w:rPr>
              <w:t>国内作者</w:t>
            </w:r>
            <w:r>
              <w:rPr>
                <w:rFonts w:ascii="Times New Roman"/>
                <w:sz w:val="21"/>
                <w:szCs w:val="22"/>
              </w:rPr>
              <w:t>（排序）</w:t>
            </w:r>
          </w:p>
        </w:tc>
        <w:tc>
          <w:tcPr>
            <w:tcW w:w="790" w:type="dxa"/>
            <w:vAlign w:val="center"/>
          </w:tcPr>
          <w:p w14:paraId="1F753C47">
            <w:pPr>
              <w:pStyle w:val="7"/>
              <w:spacing w:line="240" w:lineRule="auto"/>
              <w:ind w:firstLine="0" w:firstLineChars="0"/>
              <w:jc w:val="center"/>
              <w:outlineLvl w:val="1"/>
              <w:rPr>
                <w:rFonts w:ascii="Times New Roman"/>
                <w:sz w:val="21"/>
                <w:szCs w:val="28"/>
              </w:rPr>
            </w:pPr>
            <w:r>
              <w:rPr>
                <w:rFonts w:ascii="Times New Roman"/>
                <w:sz w:val="21"/>
                <w:szCs w:val="28"/>
              </w:rPr>
              <w:t>他引总次数</w:t>
            </w:r>
          </w:p>
        </w:tc>
        <w:tc>
          <w:tcPr>
            <w:tcW w:w="823" w:type="dxa"/>
            <w:vAlign w:val="center"/>
          </w:tcPr>
          <w:p w14:paraId="1E807458">
            <w:pPr>
              <w:pStyle w:val="7"/>
              <w:spacing w:line="240" w:lineRule="auto"/>
              <w:ind w:firstLine="0" w:firstLineChars="0"/>
              <w:jc w:val="center"/>
              <w:outlineLvl w:val="1"/>
              <w:rPr>
                <w:rFonts w:ascii="Times New Roman"/>
                <w:sz w:val="21"/>
                <w:szCs w:val="28"/>
              </w:rPr>
            </w:pPr>
            <w:r>
              <w:rPr>
                <w:rFonts w:ascii="Times New Roman"/>
                <w:sz w:val="21"/>
                <w:szCs w:val="28"/>
              </w:rPr>
              <w:t>检索数据库</w:t>
            </w:r>
          </w:p>
        </w:tc>
        <w:tc>
          <w:tcPr>
            <w:tcW w:w="981" w:type="dxa"/>
            <w:vAlign w:val="center"/>
          </w:tcPr>
          <w:p w14:paraId="70813E32">
            <w:pPr>
              <w:pStyle w:val="7"/>
              <w:spacing w:line="240" w:lineRule="auto"/>
              <w:ind w:firstLine="0" w:firstLineChars="0"/>
              <w:jc w:val="center"/>
              <w:outlineLvl w:val="1"/>
              <w:rPr>
                <w:rFonts w:ascii="Times New Roman"/>
                <w:sz w:val="21"/>
                <w:szCs w:val="28"/>
              </w:rPr>
            </w:pPr>
            <w:r>
              <w:rPr>
                <w:rFonts w:ascii="Times New Roman"/>
                <w:sz w:val="21"/>
                <w:szCs w:val="28"/>
              </w:rPr>
              <w:t>是否国内期刊/国内出版专著</w:t>
            </w:r>
          </w:p>
        </w:tc>
      </w:tr>
      <w:tr w14:paraId="3CD30A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18" w:type="dxa"/>
            <w:shd w:val="clear" w:color="auto" w:fill="auto"/>
            <w:vAlign w:val="center"/>
          </w:tcPr>
          <w:p w14:paraId="40EF165C">
            <w:pPr>
              <w:pStyle w:val="7"/>
              <w:adjustRightInd w:val="0"/>
              <w:spacing w:after="50" w:line="320" w:lineRule="exact"/>
              <w:ind w:firstLine="0" w:firstLineChars="0"/>
              <w:jc w:val="center"/>
              <w:outlineLvl w:val="1"/>
              <w:rPr>
                <w:rFonts w:hint="eastAsia" w:ascii="Times New Roman" w:hAnsi="Times New Roman" w:eastAsia="宋体" w:cs="Times New Roman"/>
                <w:kern w:val="2"/>
                <w:sz w:val="21"/>
                <w:szCs w:val="28"/>
                <w:lang w:val="en-US" w:eastAsia="zh-CN" w:bidi="ar-SA"/>
              </w:rPr>
            </w:pPr>
            <w:r>
              <w:rPr>
                <w:rFonts w:hint="eastAsia" w:ascii="Times New Roman"/>
                <w:sz w:val="21"/>
                <w:szCs w:val="28"/>
                <w:lang w:val="en-US" w:eastAsia="zh-CN"/>
              </w:rPr>
              <w:t>1</w:t>
            </w:r>
          </w:p>
        </w:tc>
        <w:tc>
          <w:tcPr>
            <w:tcW w:w="1531" w:type="dxa"/>
            <w:shd w:val="clear" w:color="auto" w:fill="auto"/>
            <w:vAlign w:val="center"/>
          </w:tcPr>
          <w:p w14:paraId="5BE12C60">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Effects of Genetic Variation of the Sorting Nexin9 (SNX29) Gene on Growth Traits of Xiangdong Black Goat. Animals.</w:t>
            </w:r>
          </w:p>
          <w:p w14:paraId="60E10F52">
            <w:pPr>
              <w:pStyle w:val="7"/>
              <w:adjustRightInd w:val="0"/>
              <w:spacing w:after="50" w:line="320" w:lineRule="exact"/>
              <w:ind w:firstLine="0" w:firstLineChars="0"/>
              <w:outlineLvl w:val="1"/>
              <w:rPr>
                <w:rFonts w:ascii="Times New Roman"/>
                <w:sz w:val="21"/>
                <w:szCs w:val="28"/>
              </w:rPr>
            </w:pPr>
            <w:r>
              <w:rPr>
                <w:rFonts w:ascii="Times New Roman"/>
                <w:sz w:val="21"/>
                <w:szCs w:val="28"/>
              </w:rPr>
              <w:t>Yuhan Chen, Long Yang, Xiaoding Lin, Peiya Peng, Weijun Shen, Sipei Tang, Xianyong Lan,</w:t>
            </w:r>
          </w:p>
          <w:p w14:paraId="5E15B771">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Fachun Wan, Yulong Yin, Mei Liu</w:t>
            </w:r>
          </w:p>
        </w:tc>
        <w:tc>
          <w:tcPr>
            <w:tcW w:w="967" w:type="dxa"/>
            <w:shd w:val="clear" w:color="auto" w:fill="auto"/>
            <w:vAlign w:val="center"/>
          </w:tcPr>
          <w:p w14:paraId="7E48439C">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b w:val="0"/>
                <w:bCs w:val="0"/>
                <w:sz w:val="21"/>
                <w:szCs w:val="28"/>
              </w:rPr>
              <w:t>2022</w:t>
            </w:r>
            <w:r>
              <w:rPr>
                <w:rFonts w:ascii="Times New Roman"/>
                <w:sz w:val="21"/>
                <w:szCs w:val="28"/>
              </w:rPr>
              <w:t>, 12, 3461</w:t>
            </w:r>
          </w:p>
        </w:tc>
        <w:tc>
          <w:tcPr>
            <w:tcW w:w="983" w:type="dxa"/>
            <w:shd w:val="clear" w:color="auto" w:fill="auto"/>
            <w:vAlign w:val="center"/>
          </w:tcPr>
          <w:p w14:paraId="183CA327">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 xml:space="preserve"> Dec 8</w:t>
            </w:r>
            <w:r>
              <w:rPr>
                <w:rFonts w:hint="eastAsia" w:ascii="Times New Roman"/>
                <w:sz w:val="21"/>
                <w:szCs w:val="28"/>
              </w:rPr>
              <w:t>,</w:t>
            </w:r>
            <w:r>
              <w:rPr>
                <w:rFonts w:ascii="Times New Roman"/>
                <w:sz w:val="21"/>
                <w:szCs w:val="28"/>
              </w:rPr>
              <w:t xml:space="preserve"> 2022</w:t>
            </w:r>
          </w:p>
        </w:tc>
        <w:tc>
          <w:tcPr>
            <w:tcW w:w="822" w:type="dxa"/>
            <w:shd w:val="clear" w:color="auto" w:fill="auto"/>
            <w:vAlign w:val="center"/>
          </w:tcPr>
          <w:p w14:paraId="1177E1E1">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b w:val="0"/>
                <w:bCs w:val="0"/>
                <w:sz w:val="21"/>
                <w:szCs w:val="28"/>
              </w:rPr>
              <w:t>Mei Liu</w:t>
            </w:r>
          </w:p>
        </w:tc>
        <w:tc>
          <w:tcPr>
            <w:tcW w:w="886" w:type="dxa"/>
            <w:shd w:val="clear" w:color="auto" w:fill="auto"/>
            <w:vAlign w:val="center"/>
          </w:tcPr>
          <w:p w14:paraId="54354FFA">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Yuhan Chen,</w:t>
            </w:r>
          </w:p>
        </w:tc>
        <w:tc>
          <w:tcPr>
            <w:tcW w:w="1144" w:type="dxa"/>
            <w:shd w:val="clear" w:color="auto" w:fill="auto"/>
            <w:vAlign w:val="center"/>
          </w:tcPr>
          <w:p w14:paraId="2F7A6B01">
            <w:pPr>
              <w:pStyle w:val="7"/>
              <w:adjustRightInd w:val="0"/>
              <w:spacing w:after="50" w:line="320" w:lineRule="exact"/>
              <w:ind w:firstLine="0" w:firstLineChars="0"/>
              <w:outlineLvl w:val="1"/>
              <w:rPr>
                <w:rFonts w:ascii="Times New Roman" w:hAnsi="Times New Roman" w:eastAsia="宋体" w:cs="Times New Roman"/>
                <w:kern w:val="2"/>
                <w:sz w:val="21"/>
                <w:szCs w:val="28"/>
                <w:lang w:val="en-US" w:eastAsia="zh-CN" w:bidi="ar-SA"/>
              </w:rPr>
            </w:pPr>
            <w:r>
              <w:rPr>
                <w:rFonts w:hint="eastAsia" w:ascii="Times New Roman"/>
                <w:sz w:val="21"/>
                <w:szCs w:val="28"/>
              </w:rPr>
              <w:t>陈钰</w:t>
            </w:r>
            <w:r>
              <w:rPr>
                <w:rFonts w:hint="eastAsia" w:ascii="Times New Roman"/>
                <w:sz w:val="21"/>
                <w:szCs w:val="28"/>
                <w:lang w:val="en-US" w:eastAsia="zh-CN"/>
              </w:rPr>
              <w:t>焓</w:t>
            </w:r>
            <w:r>
              <w:rPr>
                <w:rFonts w:hint="eastAsia" w:ascii="Times New Roman"/>
                <w:sz w:val="21"/>
                <w:szCs w:val="28"/>
              </w:rPr>
              <w:t>、杨龙、林小丁、彭佩雅、沈维军、唐嗣佩、蓝贤勇、万发春、印遇龙、刘梅</w:t>
            </w:r>
          </w:p>
        </w:tc>
        <w:tc>
          <w:tcPr>
            <w:tcW w:w="790" w:type="dxa"/>
            <w:shd w:val="clear" w:color="auto" w:fill="auto"/>
            <w:vAlign w:val="center"/>
          </w:tcPr>
          <w:p w14:paraId="53C4C271">
            <w:pPr>
              <w:pStyle w:val="7"/>
              <w:adjustRightInd w:val="0"/>
              <w:spacing w:after="50" w:line="320" w:lineRule="exact"/>
              <w:ind w:firstLine="0" w:firstLineChars="0"/>
              <w:jc w:val="center"/>
              <w:outlineLvl w:val="1"/>
              <w:rPr>
                <w:rFonts w:hint="eastAsia" w:ascii="Times New Roman" w:hAnsi="Times New Roman" w:eastAsia="宋体" w:cs="Times New Roman"/>
                <w:kern w:val="2"/>
                <w:sz w:val="21"/>
                <w:szCs w:val="28"/>
                <w:lang w:val="en-US" w:eastAsia="zh-CN" w:bidi="ar-SA"/>
              </w:rPr>
            </w:pPr>
            <w:r>
              <w:rPr>
                <w:rFonts w:ascii="Times New Roman"/>
                <w:sz w:val="21"/>
                <w:szCs w:val="28"/>
              </w:rPr>
              <w:t>13</w:t>
            </w:r>
          </w:p>
        </w:tc>
        <w:tc>
          <w:tcPr>
            <w:tcW w:w="823" w:type="dxa"/>
            <w:shd w:val="clear" w:color="auto" w:fill="auto"/>
            <w:vAlign w:val="center"/>
          </w:tcPr>
          <w:p w14:paraId="262C07AA">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b w:val="0"/>
                <w:bCs w:val="0"/>
                <w:sz w:val="21"/>
                <w:szCs w:val="28"/>
              </w:rPr>
              <w:t>SCI</w:t>
            </w:r>
          </w:p>
        </w:tc>
        <w:tc>
          <w:tcPr>
            <w:tcW w:w="981" w:type="dxa"/>
            <w:shd w:val="clear" w:color="auto" w:fill="auto"/>
            <w:vAlign w:val="center"/>
          </w:tcPr>
          <w:p w14:paraId="49EA22BE">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否</w:t>
            </w:r>
          </w:p>
        </w:tc>
      </w:tr>
      <w:tr w14:paraId="26D08C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18" w:type="dxa"/>
            <w:shd w:val="clear" w:color="auto" w:fill="auto"/>
            <w:vAlign w:val="center"/>
          </w:tcPr>
          <w:p w14:paraId="10ECBD5D">
            <w:pPr>
              <w:pStyle w:val="7"/>
              <w:adjustRightInd w:val="0"/>
              <w:spacing w:after="50" w:line="320" w:lineRule="exact"/>
              <w:ind w:firstLine="0" w:firstLineChars="0"/>
              <w:jc w:val="center"/>
              <w:outlineLvl w:val="1"/>
              <w:rPr>
                <w:rFonts w:hint="eastAsia" w:ascii="Times New Roman" w:hAnsi="Times New Roman" w:eastAsia="宋体" w:cs="Times New Roman"/>
                <w:kern w:val="2"/>
                <w:sz w:val="21"/>
                <w:szCs w:val="28"/>
                <w:lang w:val="en-US" w:eastAsia="zh-CN" w:bidi="ar-SA"/>
              </w:rPr>
            </w:pPr>
            <w:r>
              <w:rPr>
                <w:rFonts w:ascii="Times New Roman"/>
                <w:sz w:val="21"/>
                <w:szCs w:val="28"/>
              </w:rPr>
              <w:t>2</w:t>
            </w:r>
          </w:p>
        </w:tc>
        <w:tc>
          <w:tcPr>
            <w:tcW w:w="1531" w:type="dxa"/>
            <w:shd w:val="clear" w:color="auto" w:fill="auto"/>
            <w:vAlign w:val="center"/>
          </w:tcPr>
          <w:p w14:paraId="614C8B88">
            <w:pPr>
              <w:pStyle w:val="7"/>
              <w:adjustRightInd w:val="0"/>
              <w:spacing w:after="50" w:line="320" w:lineRule="exact"/>
              <w:ind w:firstLine="0" w:firstLineChars="0"/>
              <w:jc w:val="left"/>
              <w:outlineLvl w:val="1"/>
              <w:rPr>
                <w:rFonts w:ascii="Times New Roman" w:hAnsi="Times New Roman" w:eastAsia="宋体" w:cs="Times New Roman"/>
                <w:kern w:val="2"/>
                <w:sz w:val="21"/>
                <w:szCs w:val="28"/>
                <w:lang w:val="en-US" w:eastAsia="zh-CN" w:bidi="ar-SA"/>
              </w:rPr>
            </w:pPr>
            <w:r>
              <w:rPr>
                <w:rFonts w:ascii="Times New Roman"/>
                <w:sz w:val="21"/>
                <w:szCs w:val="28"/>
              </w:rPr>
              <w:t>Whole-genome resequencing reveals the genomic diversity and signatures of selection in Romanov sheep</w:t>
            </w:r>
            <w:r>
              <w:rPr>
                <w:rFonts w:hint="eastAsia" w:ascii="Times New Roman"/>
                <w:sz w:val="21"/>
                <w:szCs w:val="28"/>
              </w:rPr>
              <w:t>.</w:t>
            </w:r>
            <w:r>
              <w:rPr>
                <w:rFonts w:ascii="Times New Roman"/>
                <w:sz w:val="21"/>
                <w:szCs w:val="28"/>
              </w:rPr>
              <w:t>Journal of Animal Science. Chunna Cao, Yuxin Kang, Qian Zhou, Hojjat Asadollahpour Nanaei, Didi Bo, Peiyao Liu, Yangyang Bai, Ran Li, Yu Jiang, Xianyong Lan, Chuanying Pan</w:t>
            </w:r>
          </w:p>
        </w:tc>
        <w:tc>
          <w:tcPr>
            <w:tcW w:w="967" w:type="dxa"/>
            <w:shd w:val="clear" w:color="auto" w:fill="auto"/>
            <w:vAlign w:val="center"/>
          </w:tcPr>
          <w:p w14:paraId="1936BE04">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hint="eastAsia" w:ascii="Times New Roman"/>
                <w:sz w:val="21"/>
                <w:szCs w:val="28"/>
              </w:rPr>
              <w:t>2023,</w:t>
            </w:r>
            <w:r>
              <w:rPr>
                <w:rFonts w:ascii="Times New Roman"/>
                <w:sz w:val="21"/>
                <w:szCs w:val="28"/>
              </w:rPr>
              <w:t>34(4), 980–985</w:t>
            </w:r>
          </w:p>
        </w:tc>
        <w:tc>
          <w:tcPr>
            <w:tcW w:w="983" w:type="dxa"/>
            <w:shd w:val="clear" w:color="auto" w:fill="auto"/>
            <w:vAlign w:val="center"/>
          </w:tcPr>
          <w:p w14:paraId="3759A372">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br w:type="textWrapping"/>
            </w:r>
            <w:r>
              <w:rPr>
                <w:rFonts w:ascii="Times New Roman"/>
                <w:sz w:val="21"/>
                <w:szCs w:val="28"/>
              </w:rPr>
              <w:t>Sep 8, 2023</w:t>
            </w:r>
          </w:p>
        </w:tc>
        <w:tc>
          <w:tcPr>
            <w:tcW w:w="822" w:type="dxa"/>
            <w:shd w:val="clear" w:color="auto" w:fill="auto"/>
            <w:vAlign w:val="center"/>
          </w:tcPr>
          <w:p w14:paraId="1706E9AF">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hint="eastAsia" w:ascii="Times New Roman"/>
                <w:sz w:val="21"/>
                <w:szCs w:val="28"/>
              </w:rPr>
              <w:t>Chuanying Pan</w:t>
            </w:r>
          </w:p>
        </w:tc>
        <w:tc>
          <w:tcPr>
            <w:tcW w:w="886" w:type="dxa"/>
            <w:shd w:val="clear" w:color="auto" w:fill="auto"/>
            <w:vAlign w:val="center"/>
          </w:tcPr>
          <w:p w14:paraId="74982078">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Chunna Cao</w:t>
            </w:r>
            <w:r>
              <w:rPr>
                <w:rFonts w:hint="eastAsia" w:ascii="Times New Roman"/>
                <w:sz w:val="21"/>
                <w:szCs w:val="28"/>
              </w:rPr>
              <w:t xml:space="preserve"> </w:t>
            </w:r>
          </w:p>
        </w:tc>
        <w:tc>
          <w:tcPr>
            <w:tcW w:w="1144" w:type="dxa"/>
            <w:shd w:val="clear" w:color="auto" w:fill="auto"/>
            <w:vAlign w:val="center"/>
          </w:tcPr>
          <w:p w14:paraId="61E018E0">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hint="eastAsia" w:ascii="Times New Roman"/>
                <w:sz w:val="21"/>
                <w:szCs w:val="28"/>
              </w:rPr>
              <w:t>曹春娜、康雨欣、周倩、</w:t>
            </w:r>
            <w:r>
              <w:rPr>
                <w:rFonts w:hint="eastAsia" w:ascii="Times New Roman"/>
                <w:sz w:val="21"/>
                <w:szCs w:val="28"/>
                <w:lang w:val="en-US" w:eastAsia="zh-CN"/>
              </w:rPr>
              <w:t>薄</w:t>
            </w:r>
            <w:r>
              <w:rPr>
                <w:rFonts w:hint="eastAsia" w:ascii="Times New Roman"/>
                <w:sz w:val="21"/>
                <w:szCs w:val="28"/>
              </w:rPr>
              <w:t>迪迪、刘沛尧、白洋洋、李冉、姜雨、蓝贤勇、潘传英</w:t>
            </w:r>
          </w:p>
        </w:tc>
        <w:tc>
          <w:tcPr>
            <w:tcW w:w="790" w:type="dxa"/>
            <w:shd w:val="clear" w:color="auto" w:fill="auto"/>
            <w:vAlign w:val="center"/>
          </w:tcPr>
          <w:p w14:paraId="40F148B6">
            <w:pPr>
              <w:pStyle w:val="7"/>
              <w:adjustRightInd w:val="0"/>
              <w:spacing w:after="50" w:line="320" w:lineRule="exact"/>
              <w:ind w:firstLine="0" w:firstLineChars="0"/>
              <w:jc w:val="center"/>
              <w:outlineLvl w:val="1"/>
              <w:rPr>
                <w:rFonts w:hint="eastAsia" w:ascii="Times New Roman" w:hAnsi="Times New Roman" w:eastAsia="宋体" w:cs="Times New Roman"/>
                <w:kern w:val="2"/>
                <w:sz w:val="21"/>
                <w:szCs w:val="28"/>
                <w:lang w:val="en-US" w:eastAsia="zh-CN" w:bidi="ar-SA"/>
              </w:rPr>
            </w:pPr>
            <w:r>
              <w:rPr>
                <w:rFonts w:hint="eastAsia" w:ascii="Times New Roman"/>
                <w:sz w:val="21"/>
                <w:szCs w:val="28"/>
                <w:lang w:val="en-US" w:eastAsia="zh-CN"/>
              </w:rPr>
              <w:t>8</w:t>
            </w:r>
          </w:p>
        </w:tc>
        <w:tc>
          <w:tcPr>
            <w:tcW w:w="823" w:type="dxa"/>
            <w:shd w:val="clear" w:color="auto" w:fill="auto"/>
            <w:vAlign w:val="center"/>
          </w:tcPr>
          <w:p w14:paraId="56963722">
            <w:pPr>
              <w:pStyle w:val="7"/>
              <w:adjustRightInd w:val="0"/>
              <w:spacing w:after="50" w:line="320" w:lineRule="exact"/>
              <w:ind w:firstLine="0" w:firstLineChars="0"/>
              <w:jc w:val="center"/>
              <w:outlineLvl w:val="1"/>
              <w:rPr>
                <w:rFonts w:ascii="Times New Roman" w:hAnsi="Times New Roman" w:eastAsia="宋体" w:cs="Times New Roman"/>
                <w:b w:val="0"/>
                <w:bCs w:val="0"/>
                <w:kern w:val="2"/>
                <w:sz w:val="21"/>
                <w:szCs w:val="28"/>
                <w:lang w:val="en-US" w:eastAsia="zh-CN" w:bidi="ar-SA"/>
              </w:rPr>
            </w:pPr>
            <w:r>
              <w:rPr>
                <w:rFonts w:ascii="Times New Roman"/>
                <w:b w:val="0"/>
                <w:bCs w:val="0"/>
                <w:sz w:val="21"/>
                <w:szCs w:val="28"/>
              </w:rPr>
              <w:t>SCI</w:t>
            </w:r>
          </w:p>
        </w:tc>
        <w:tc>
          <w:tcPr>
            <w:tcW w:w="981" w:type="dxa"/>
            <w:shd w:val="clear" w:color="auto" w:fill="auto"/>
            <w:vAlign w:val="center"/>
          </w:tcPr>
          <w:p w14:paraId="6B2E2AA4">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否</w:t>
            </w:r>
          </w:p>
        </w:tc>
      </w:tr>
      <w:tr w14:paraId="1C3C10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18" w:type="dxa"/>
            <w:shd w:val="clear" w:color="auto" w:fill="auto"/>
            <w:vAlign w:val="center"/>
          </w:tcPr>
          <w:p w14:paraId="3C759221">
            <w:pPr>
              <w:pStyle w:val="7"/>
              <w:adjustRightInd w:val="0"/>
              <w:spacing w:after="50" w:line="320" w:lineRule="exact"/>
              <w:ind w:firstLine="0" w:firstLineChars="0"/>
              <w:jc w:val="center"/>
              <w:outlineLvl w:val="1"/>
              <w:rPr>
                <w:rFonts w:hint="eastAsia" w:ascii="Times New Roman" w:hAnsi="Times New Roman" w:eastAsia="宋体" w:cs="Times New Roman"/>
                <w:kern w:val="2"/>
                <w:sz w:val="21"/>
                <w:szCs w:val="28"/>
                <w:lang w:val="en-US" w:eastAsia="zh-CN" w:bidi="ar-SA"/>
              </w:rPr>
            </w:pPr>
            <w:r>
              <w:rPr>
                <w:rFonts w:hint="eastAsia" w:ascii="Times New Roman"/>
                <w:sz w:val="21"/>
                <w:szCs w:val="28"/>
                <w:lang w:val="en-US" w:eastAsia="zh-CN"/>
              </w:rPr>
              <w:t>3</w:t>
            </w:r>
          </w:p>
        </w:tc>
        <w:tc>
          <w:tcPr>
            <w:tcW w:w="1531" w:type="dxa"/>
            <w:shd w:val="clear" w:color="auto" w:fill="auto"/>
            <w:vAlign w:val="center"/>
          </w:tcPr>
          <w:p w14:paraId="59D7F8C4">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Population structure, genetic diversity, and selective signature of Chaka sheep revealed by whole genome sequencing</w:t>
            </w:r>
            <w:r>
              <w:rPr>
                <w:rFonts w:ascii="Times New Roman"/>
              </w:rPr>
              <w:t xml:space="preserve"> </w:t>
            </w:r>
            <w:r>
              <w:rPr>
                <w:rFonts w:ascii="Times New Roman"/>
                <w:sz w:val="21"/>
                <w:szCs w:val="28"/>
              </w:rPr>
              <w:t>BMC Genomics，Jie Cheng, Huangqing Zhao, Ningbo Chen, Xiukai Cao, Quratulain Hanif, Li Pi, Linyong Hu, Buren Chaogetu, Yongzhen Huang, Xianyong Lan, Chuzhao Lei， Hong Chen</w:t>
            </w:r>
          </w:p>
        </w:tc>
        <w:tc>
          <w:tcPr>
            <w:tcW w:w="967" w:type="dxa"/>
            <w:shd w:val="clear" w:color="auto" w:fill="auto"/>
            <w:vAlign w:val="center"/>
          </w:tcPr>
          <w:p w14:paraId="21632A79">
            <w:pPr>
              <w:pStyle w:val="7"/>
              <w:adjustRightInd w:val="0"/>
              <w:spacing w:after="50" w:line="320" w:lineRule="exact"/>
              <w:ind w:firstLine="0" w:firstLineChars="0"/>
              <w:jc w:val="center"/>
              <w:outlineLvl w:val="1"/>
              <w:rPr>
                <w:rFonts w:hint="eastAsia" w:ascii="Times New Roman" w:hAnsi="Times New Roman" w:eastAsia="宋体" w:cs="Times New Roman"/>
                <w:kern w:val="2"/>
                <w:sz w:val="24"/>
                <w:szCs w:val="20"/>
                <w:lang w:val="en-US" w:eastAsia="zh-CN" w:bidi="ar-SA"/>
              </w:rPr>
            </w:pPr>
            <w:r>
              <w:rPr>
                <w:rFonts w:ascii="Times New Roman"/>
                <w:sz w:val="21"/>
                <w:szCs w:val="28"/>
              </w:rPr>
              <w:t>2020，21(1):520</w:t>
            </w:r>
          </w:p>
        </w:tc>
        <w:tc>
          <w:tcPr>
            <w:tcW w:w="983" w:type="dxa"/>
            <w:shd w:val="clear" w:color="auto" w:fill="auto"/>
            <w:vAlign w:val="center"/>
          </w:tcPr>
          <w:p w14:paraId="4AA07478">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Jul</w:t>
            </w:r>
            <w:r>
              <w:rPr>
                <w:rFonts w:hint="eastAsia" w:ascii="Times New Roman"/>
                <w:sz w:val="21"/>
                <w:szCs w:val="28"/>
              </w:rPr>
              <w:t xml:space="preserve"> 29,</w:t>
            </w:r>
            <w:r>
              <w:rPr>
                <w:rFonts w:ascii="Times New Roman"/>
                <w:sz w:val="21"/>
                <w:szCs w:val="28"/>
              </w:rPr>
              <w:t xml:space="preserve"> 2020</w:t>
            </w:r>
          </w:p>
        </w:tc>
        <w:tc>
          <w:tcPr>
            <w:tcW w:w="822" w:type="dxa"/>
            <w:shd w:val="clear" w:color="auto" w:fill="auto"/>
            <w:vAlign w:val="center"/>
          </w:tcPr>
          <w:p w14:paraId="62A24798">
            <w:pPr>
              <w:pStyle w:val="7"/>
              <w:adjustRightInd w:val="0"/>
              <w:spacing w:after="50" w:line="320" w:lineRule="exact"/>
              <w:ind w:firstLine="0" w:firstLineChars="0"/>
              <w:jc w:val="center"/>
              <w:outlineLvl w:val="1"/>
              <w:rPr>
                <w:rFonts w:hint="eastAsia" w:ascii="Times New Roman" w:hAnsi="Times New Roman" w:eastAsia="宋体" w:cs="Times New Roman"/>
                <w:kern w:val="2"/>
                <w:sz w:val="21"/>
                <w:szCs w:val="28"/>
                <w:lang w:val="en-US" w:eastAsia="zh-CN" w:bidi="ar-SA"/>
              </w:rPr>
            </w:pPr>
            <w:r>
              <w:rPr>
                <w:rFonts w:ascii="Times New Roman"/>
                <w:sz w:val="21"/>
                <w:szCs w:val="28"/>
              </w:rPr>
              <w:t>Hong Chen</w:t>
            </w:r>
          </w:p>
        </w:tc>
        <w:tc>
          <w:tcPr>
            <w:tcW w:w="886" w:type="dxa"/>
            <w:shd w:val="clear" w:color="auto" w:fill="auto"/>
            <w:vAlign w:val="center"/>
          </w:tcPr>
          <w:p w14:paraId="03C5539A">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Jie Cheng</w:t>
            </w:r>
          </w:p>
        </w:tc>
        <w:tc>
          <w:tcPr>
            <w:tcW w:w="1144" w:type="dxa"/>
            <w:shd w:val="clear" w:color="auto" w:fill="auto"/>
            <w:vAlign w:val="center"/>
          </w:tcPr>
          <w:p w14:paraId="75E3397B">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hint="eastAsia" w:ascii="Times New Roman"/>
                <w:sz w:val="21"/>
                <w:szCs w:val="28"/>
              </w:rPr>
              <w:t>程杰、赵黄青、陈宁博、曹修凯、</w:t>
            </w:r>
            <w:r>
              <w:rPr>
                <w:rFonts w:hint="eastAsia" w:ascii="Times New Roman"/>
                <w:sz w:val="21"/>
                <w:szCs w:val="28"/>
                <w:lang w:val="en-US" w:eastAsia="zh-CN"/>
              </w:rPr>
              <w:t>皮立</w:t>
            </w:r>
            <w:r>
              <w:rPr>
                <w:rFonts w:hint="eastAsia" w:ascii="Times New Roman"/>
                <w:sz w:val="21"/>
                <w:szCs w:val="28"/>
              </w:rPr>
              <w:t>、胡林勇、黄永震、蓝贤勇、雷初朝、陈宏</w:t>
            </w:r>
          </w:p>
        </w:tc>
        <w:tc>
          <w:tcPr>
            <w:tcW w:w="790" w:type="dxa"/>
            <w:shd w:val="clear" w:color="auto" w:fill="auto"/>
            <w:vAlign w:val="center"/>
          </w:tcPr>
          <w:p w14:paraId="16E27668">
            <w:pPr>
              <w:pStyle w:val="7"/>
              <w:adjustRightInd w:val="0"/>
              <w:spacing w:after="50" w:line="320" w:lineRule="exact"/>
              <w:ind w:firstLine="0" w:firstLineChars="0"/>
              <w:jc w:val="center"/>
              <w:outlineLvl w:val="1"/>
              <w:rPr>
                <w:rFonts w:hint="default" w:ascii="Times New Roman" w:hAnsi="Times New Roman" w:eastAsia="宋体" w:cs="Times New Roman"/>
                <w:kern w:val="2"/>
                <w:sz w:val="21"/>
                <w:szCs w:val="28"/>
                <w:lang w:val="en-US" w:eastAsia="zh-CN" w:bidi="ar-SA"/>
              </w:rPr>
            </w:pPr>
            <w:r>
              <w:rPr>
                <w:rFonts w:hint="eastAsia" w:ascii="Times New Roman"/>
                <w:sz w:val="21"/>
                <w:szCs w:val="28"/>
                <w:lang w:val="en-US" w:eastAsia="zh-CN"/>
              </w:rPr>
              <w:t>29</w:t>
            </w:r>
          </w:p>
        </w:tc>
        <w:tc>
          <w:tcPr>
            <w:tcW w:w="823" w:type="dxa"/>
            <w:shd w:val="clear" w:color="auto" w:fill="auto"/>
            <w:vAlign w:val="center"/>
          </w:tcPr>
          <w:p w14:paraId="4572316C">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SCI</w:t>
            </w:r>
          </w:p>
        </w:tc>
        <w:tc>
          <w:tcPr>
            <w:tcW w:w="981" w:type="dxa"/>
            <w:shd w:val="clear" w:color="auto" w:fill="auto"/>
            <w:vAlign w:val="center"/>
          </w:tcPr>
          <w:p w14:paraId="6BDBA498">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否</w:t>
            </w:r>
          </w:p>
        </w:tc>
      </w:tr>
      <w:bookmarkEnd w:id="0"/>
      <w:tr w14:paraId="7E4F03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18" w:type="dxa"/>
            <w:shd w:val="clear" w:color="auto" w:fill="auto"/>
            <w:vAlign w:val="center"/>
          </w:tcPr>
          <w:p w14:paraId="07DA5C2F">
            <w:pPr>
              <w:pStyle w:val="7"/>
              <w:adjustRightInd w:val="0"/>
              <w:spacing w:after="50" w:line="320" w:lineRule="exact"/>
              <w:ind w:firstLine="0" w:firstLineChars="0"/>
              <w:jc w:val="center"/>
              <w:outlineLvl w:val="1"/>
              <w:rPr>
                <w:rFonts w:hint="default" w:ascii="Times New Roman" w:hAnsi="Times New Roman" w:eastAsia="宋体" w:cs="Times New Roman"/>
                <w:kern w:val="2"/>
                <w:sz w:val="21"/>
                <w:szCs w:val="28"/>
                <w:lang w:val="en-US" w:eastAsia="zh-CN" w:bidi="ar-SA"/>
              </w:rPr>
            </w:pPr>
            <w:r>
              <w:rPr>
                <w:rFonts w:hint="eastAsia" w:ascii="Times New Roman" w:cs="Times New Roman"/>
                <w:kern w:val="2"/>
                <w:sz w:val="21"/>
                <w:szCs w:val="28"/>
                <w:lang w:val="en-US" w:eastAsia="zh-CN" w:bidi="ar-SA"/>
              </w:rPr>
              <w:t>4</w:t>
            </w:r>
          </w:p>
        </w:tc>
        <w:tc>
          <w:tcPr>
            <w:tcW w:w="1531" w:type="dxa"/>
            <w:shd w:val="clear" w:color="auto" w:fill="auto"/>
            <w:vAlign w:val="center"/>
          </w:tcPr>
          <w:p w14:paraId="794ED548">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Detection distribution of CNVs of SNX29 in three goat breeds andtheir associations with growth traits，Frontiers in Veterinary Science，Qian Wang , Xiaoyue Song, Yi Bi , Haijing Zhu, Xianfeng Wu, Zhengang Guo, Mei Liu, Chuanying Pan</w:t>
            </w:r>
          </w:p>
        </w:tc>
        <w:tc>
          <w:tcPr>
            <w:tcW w:w="967" w:type="dxa"/>
            <w:shd w:val="clear" w:color="auto" w:fill="auto"/>
            <w:vAlign w:val="center"/>
          </w:tcPr>
          <w:p w14:paraId="2CE061AF">
            <w:pPr>
              <w:pStyle w:val="7"/>
              <w:adjustRightInd w:val="0"/>
              <w:spacing w:after="50" w:line="320" w:lineRule="exact"/>
              <w:ind w:firstLine="0" w:firstLineChars="0"/>
              <w:jc w:val="center"/>
              <w:outlineLvl w:val="1"/>
              <w:rPr>
                <w:rFonts w:hint="eastAsia" w:ascii="Times New Roman" w:hAnsi="Times New Roman" w:eastAsia="宋体" w:cs="Times New Roman"/>
                <w:kern w:val="2"/>
                <w:sz w:val="21"/>
                <w:szCs w:val="28"/>
                <w:lang w:val="en-US" w:eastAsia="zh-CN" w:bidi="ar-SA"/>
              </w:rPr>
            </w:pPr>
            <w:r>
              <w:rPr>
                <w:rFonts w:ascii="Times New Roman"/>
                <w:sz w:val="21"/>
                <w:szCs w:val="28"/>
              </w:rPr>
              <w:t>2023，10:1132833</w:t>
            </w:r>
          </w:p>
        </w:tc>
        <w:tc>
          <w:tcPr>
            <w:tcW w:w="983" w:type="dxa"/>
            <w:shd w:val="clear" w:color="auto" w:fill="auto"/>
            <w:vAlign w:val="center"/>
          </w:tcPr>
          <w:p w14:paraId="7C16C348">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Aug 29</w:t>
            </w:r>
            <w:r>
              <w:rPr>
                <w:rFonts w:hint="eastAsia" w:ascii="Times New Roman"/>
                <w:sz w:val="21"/>
                <w:szCs w:val="28"/>
              </w:rPr>
              <w:t xml:space="preserve">, </w:t>
            </w:r>
            <w:r>
              <w:rPr>
                <w:rFonts w:ascii="Times New Roman"/>
                <w:sz w:val="21"/>
                <w:szCs w:val="28"/>
              </w:rPr>
              <w:t xml:space="preserve">2023 </w:t>
            </w:r>
          </w:p>
        </w:tc>
        <w:tc>
          <w:tcPr>
            <w:tcW w:w="822" w:type="dxa"/>
            <w:shd w:val="clear" w:color="auto" w:fill="auto"/>
            <w:vAlign w:val="center"/>
          </w:tcPr>
          <w:p w14:paraId="7C6C2D9E">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Mei Liu, Chuanying Pan</w:t>
            </w:r>
          </w:p>
        </w:tc>
        <w:tc>
          <w:tcPr>
            <w:tcW w:w="886" w:type="dxa"/>
            <w:shd w:val="clear" w:color="auto" w:fill="auto"/>
            <w:vAlign w:val="center"/>
          </w:tcPr>
          <w:p w14:paraId="06BDEBA7">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Qian Wang, Xiaoyue Song</w:t>
            </w:r>
          </w:p>
        </w:tc>
        <w:tc>
          <w:tcPr>
            <w:tcW w:w="1144" w:type="dxa"/>
            <w:shd w:val="clear" w:color="auto" w:fill="auto"/>
            <w:vAlign w:val="center"/>
          </w:tcPr>
          <w:p w14:paraId="0EC08CCD">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hint="eastAsia" w:ascii="Times New Roman"/>
                <w:sz w:val="21"/>
                <w:szCs w:val="28"/>
              </w:rPr>
              <w:t>王乾、宋晓越、毕谊、朱海鲸、吴贤锋、郭振刚、刘梅、潘传英</w:t>
            </w:r>
          </w:p>
        </w:tc>
        <w:tc>
          <w:tcPr>
            <w:tcW w:w="790" w:type="dxa"/>
            <w:shd w:val="clear" w:color="auto" w:fill="auto"/>
            <w:vAlign w:val="center"/>
          </w:tcPr>
          <w:p w14:paraId="3B2EC132">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5</w:t>
            </w:r>
          </w:p>
        </w:tc>
        <w:tc>
          <w:tcPr>
            <w:tcW w:w="823" w:type="dxa"/>
            <w:shd w:val="clear" w:color="auto" w:fill="auto"/>
            <w:vAlign w:val="center"/>
          </w:tcPr>
          <w:p w14:paraId="17499986">
            <w:pPr>
              <w:pStyle w:val="7"/>
              <w:adjustRightInd w:val="0"/>
              <w:spacing w:after="50" w:line="320" w:lineRule="exact"/>
              <w:ind w:firstLine="0" w:firstLineChars="0"/>
              <w:jc w:val="center"/>
              <w:outlineLvl w:val="1"/>
              <w:rPr>
                <w:rFonts w:ascii="Times New Roman" w:hAnsi="Times New Roman" w:eastAsia="宋体" w:cs="Times New Roman"/>
                <w:b w:val="0"/>
                <w:bCs w:val="0"/>
                <w:kern w:val="2"/>
                <w:sz w:val="21"/>
                <w:szCs w:val="28"/>
                <w:lang w:val="en-US" w:eastAsia="zh-CN" w:bidi="ar-SA"/>
              </w:rPr>
            </w:pPr>
            <w:r>
              <w:rPr>
                <w:rFonts w:ascii="Times New Roman"/>
                <w:b w:val="0"/>
                <w:bCs w:val="0"/>
                <w:sz w:val="21"/>
                <w:szCs w:val="28"/>
              </w:rPr>
              <w:t>SCI</w:t>
            </w:r>
          </w:p>
        </w:tc>
        <w:tc>
          <w:tcPr>
            <w:tcW w:w="981" w:type="dxa"/>
            <w:shd w:val="clear" w:color="auto" w:fill="auto"/>
            <w:vAlign w:val="center"/>
          </w:tcPr>
          <w:p w14:paraId="5A06CA64">
            <w:pPr>
              <w:pStyle w:val="7"/>
              <w:adjustRightInd w:val="0"/>
              <w:spacing w:after="50" w:line="320" w:lineRule="exact"/>
              <w:ind w:firstLine="0" w:firstLineChars="0"/>
              <w:jc w:val="center"/>
              <w:outlineLvl w:val="1"/>
              <w:rPr>
                <w:rFonts w:ascii="Times New Roman" w:hAnsi="Times New Roman" w:eastAsia="宋体" w:cs="Times New Roman"/>
                <w:kern w:val="2"/>
                <w:sz w:val="21"/>
                <w:szCs w:val="28"/>
                <w:lang w:val="en-US" w:eastAsia="zh-CN" w:bidi="ar-SA"/>
              </w:rPr>
            </w:pPr>
            <w:r>
              <w:rPr>
                <w:rFonts w:ascii="Times New Roman"/>
                <w:sz w:val="21"/>
                <w:szCs w:val="28"/>
              </w:rPr>
              <w:t>否</w:t>
            </w:r>
          </w:p>
        </w:tc>
      </w:tr>
      <w:tr w14:paraId="0E372A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18" w:type="dxa"/>
            <w:vAlign w:val="center"/>
          </w:tcPr>
          <w:p w14:paraId="09170D43">
            <w:pPr>
              <w:pStyle w:val="7"/>
              <w:adjustRightInd w:val="0"/>
              <w:spacing w:after="50" w:line="320" w:lineRule="exact"/>
              <w:ind w:firstLine="0" w:firstLineChars="0"/>
              <w:jc w:val="center"/>
              <w:outlineLvl w:val="1"/>
              <w:rPr>
                <w:rFonts w:hint="eastAsia" w:ascii="Times New Roman" w:eastAsia="宋体"/>
                <w:sz w:val="21"/>
                <w:szCs w:val="28"/>
                <w:lang w:eastAsia="zh-CN"/>
              </w:rPr>
            </w:pPr>
            <w:r>
              <w:rPr>
                <w:rFonts w:hint="eastAsia" w:ascii="Times New Roman"/>
                <w:sz w:val="21"/>
                <w:szCs w:val="28"/>
                <w:lang w:val="en-US" w:eastAsia="zh-CN"/>
              </w:rPr>
              <w:t>5</w:t>
            </w:r>
          </w:p>
        </w:tc>
        <w:tc>
          <w:tcPr>
            <w:tcW w:w="1531" w:type="dxa"/>
            <w:vAlign w:val="center"/>
          </w:tcPr>
          <w:p w14:paraId="53B9046A">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Effect of indel variants within the sorting nexin 29 (snx29) gene on growth traits of goats，Animal Biotechnology</w:t>
            </w:r>
            <w:r>
              <w:rPr>
                <w:rFonts w:hint="eastAsia" w:ascii="Times New Roman"/>
                <w:sz w:val="21"/>
                <w:szCs w:val="28"/>
                <w:lang w:eastAsia="zh-CN"/>
              </w:rPr>
              <w:t>;</w:t>
            </w:r>
            <w:r>
              <w:rPr>
                <w:rFonts w:ascii="Times New Roman"/>
                <w:sz w:val="21"/>
                <w:szCs w:val="28"/>
              </w:rPr>
              <w:t>Yi Bi, Yuhan Chen, Dongyu Xin, Tingting Liu, Libang He, Yuxin Kang, Chuanying Pan, Weijun Shen, Xianyong Lan, Mei Liu</w:t>
            </w:r>
          </w:p>
        </w:tc>
        <w:tc>
          <w:tcPr>
            <w:tcW w:w="967" w:type="dxa"/>
            <w:vAlign w:val="center"/>
          </w:tcPr>
          <w:p w14:paraId="389D7BB4">
            <w:pPr>
              <w:pStyle w:val="7"/>
              <w:adjustRightInd w:val="0"/>
              <w:spacing w:after="50" w:line="320" w:lineRule="exact"/>
              <w:ind w:firstLine="0" w:firstLineChars="0"/>
              <w:jc w:val="center"/>
              <w:outlineLvl w:val="1"/>
              <w:rPr>
                <w:rFonts w:ascii="Times New Roman"/>
                <w:sz w:val="21"/>
                <w:szCs w:val="28"/>
              </w:rPr>
            </w:pPr>
            <w:r>
              <w:rPr>
                <w:rFonts w:hint="eastAsia" w:ascii="Times New Roman"/>
                <w:sz w:val="21"/>
                <w:szCs w:val="28"/>
              </w:rPr>
              <w:t xml:space="preserve">2022, </w:t>
            </w:r>
            <w:r>
              <w:rPr>
                <w:rFonts w:ascii="Times New Roman"/>
                <w:sz w:val="21"/>
                <w:szCs w:val="28"/>
              </w:rPr>
              <w:t>33(5), 914–919</w:t>
            </w:r>
          </w:p>
        </w:tc>
        <w:tc>
          <w:tcPr>
            <w:tcW w:w="983" w:type="dxa"/>
            <w:vAlign w:val="center"/>
          </w:tcPr>
          <w:p w14:paraId="0910E2CE">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O</w:t>
            </w:r>
            <w:r>
              <w:rPr>
                <w:rFonts w:hint="eastAsia" w:ascii="Times New Roman"/>
                <w:sz w:val="21"/>
                <w:szCs w:val="28"/>
              </w:rPr>
              <w:t>ct</w:t>
            </w:r>
            <w:r>
              <w:rPr>
                <w:rFonts w:ascii="Times New Roman"/>
                <w:sz w:val="21"/>
                <w:szCs w:val="28"/>
              </w:rPr>
              <w:t xml:space="preserve"> 3 2022</w:t>
            </w:r>
          </w:p>
        </w:tc>
        <w:tc>
          <w:tcPr>
            <w:tcW w:w="822" w:type="dxa"/>
            <w:vAlign w:val="center"/>
          </w:tcPr>
          <w:p w14:paraId="1D6E67E0">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Liu Mei</w:t>
            </w:r>
          </w:p>
        </w:tc>
        <w:tc>
          <w:tcPr>
            <w:tcW w:w="886" w:type="dxa"/>
            <w:vAlign w:val="center"/>
          </w:tcPr>
          <w:p w14:paraId="54D5A6B4">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Yi Bi</w:t>
            </w:r>
          </w:p>
        </w:tc>
        <w:tc>
          <w:tcPr>
            <w:tcW w:w="1144" w:type="dxa"/>
            <w:vAlign w:val="center"/>
          </w:tcPr>
          <w:p w14:paraId="4850709B">
            <w:pPr>
              <w:pStyle w:val="7"/>
              <w:adjustRightInd w:val="0"/>
              <w:spacing w:after="50" w:line="320" w:lineRule="exact"/>
              <w:ind w:firstLine="0" w:firstLineChars="0"/>
              <w:jc w:val="center"/>
              <w:outlineLvl w:val="1"/>
              <w:rPr>
                <w:rFonts w:ascii="Times New Roman"/>
                <w:sz w:val="21"/>
                <w:szCs w:val="28"/>
              </w:rPr>
            </w:pPr>
            <w:r>
              <w:rPr>
                <w:rFonts w:hint="eastAsia" w:ascii="Times New Roman"/>
                <w:sz w:val="21"/>
                <w:szCs w:val="28"/>
              </w:rPr>
              <w:t>毕谊、陈钰焓、辛东芸、刘婷婷、何礼邦、康雨欣、潘传英、沈维军、蓝贤勇、刘梅</w:t>
            </w:r>
          </w:p>
        </w:tc>
        <w:tc>
          <w:tcPr>
            <w:tcW w:w="790" w:type="dxa"/>
            <w:vAlign w:val="center"/>
          </w:tcPr>
          <w:p w14:paraId="5909476F">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15</w:t>
            </w:r>
          </w:p>
        </w:tc>
        <w:tc>
          <w:tcPr>
            <w:tcW w:w="823" w:type="dxa"/>
            <w:vAlign w:val="center"/>
          </w:tcPr>
          <w:p w14:paraId="2CAFE4AE">
            <w:pPr>
              <w:pStyle w:val="7"/>
              <w:adjustRightInd w:val="0"/>
              <w:spacing w:after="50" w:line="320" w:lineRule="exact"/>
              <w:ind w:firstLine="0" w:firstLineChars="0"/>
              <w:jc w:val="center"/>
              <w:outlineLvl w:val="1"/>
              <w:rPr>
                <w:rFonts w:ascii="Times New Roman"/>
                <w:sz w:val="21"/>
                <w:szCs w:val="28"/>
              </w:rPr>
            </w:pPr>
            <w:r>
              <w:rPr>
                <w:rFonts w:ascii="Times New Roman"/>
                <w:b w:val="0"/>
                <w:bCs w:val="0"/>
                <w:sz w:val="21"/>
                <w:szCs w:val="28"/>
              </w:rPr>
              <w:t>SCI</w:t>
            </w:r>
          </w:p>
        </w:tc>
        <w:tc>
          <w:tcPr>
            <w:tcW w:w="981" w:type="dxa"/>
            <w:vAlign w:val="center"/>
          </w:tcPr>
          <w:p w14:paraId="44A2BB53">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否</w:t>
            </w:r>
          </w:p>
        </w:tc>
      </w:tr>
      <w:tr w14:paraId="7859F2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18" w:type="dxa"/>
            <w:vAlign w:val="center"/>
          </w:tcPr>
          <w:p w14:paraId="6DD9CD70">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6</w:t>
            </w:r>
          </w:p>
        </w:tc>
        <w:tc>
          <w:tcPr>
            <w:tcW w:w="1531" w:type="dxa"/>
            <w:vAlign w:val="center"/>
          </w:tcPr>
          <w:p w14:paraId="57AB38AC">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山羊PPP3CA基因拷贝数变异及其与生长性状的关联分析，农业生物技术学报,白洋洋,杜书增,李信,朱海鲸,屈雷,郭振刚,杨青,蓝贤勇.</w:t>
            </w:r>
          </w:p>
        </w:tc>
        <w:tc>
          <w:tcPr>
            <w:tcW w:w="967" w:type="dxa"/>
            <w:vAlign w:val="center"/>
          </w:tcPr>
          <w:p w14:paraId="5EAA0968">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2024,32(5):1071-1080</w:t>
            </w:r>
          </w:p>
        </w:tc>
        <w:tc>
          <w:tcPr>
            <w:tcW w:w="983" w:type="dxa"/>
            <w:vAlign w:val="center"/>
          </w:tcPr>
          <w:p w14:paraId="3C37BC57">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2024年4月30日</w:t>
            </w:r>
          </w:p>
        </w:tc>
        <w:tc>
          <w:tcPr>
            <w:tcW w:w="822" w:type="dxa"/>
            <w:vAlign w:val="center"/>
          </w:tcPr>
          <w:p w14:paraId="41411C1D">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杨青，蓝贤勇</w:t>
            </w:r>
          </w:p>
        </w:tc>
        <w:tc>
          <w:tcPr>
            <w:tcW w:w="886" w:type="dxa"/>
            <w:vAlign w:val="center"/>
          </w:tcPr>
          <w:p w14:paraId="79E05B73">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白洋洋</w:t>
            </w:r>
          </w:p>
        </w:tc>
        <w:tc>
          <w:tcPr>
            <w:tcW w:w="1144" w:type="dxa"/>
            <w:vAlign w:val="center"/>
          </w:tcPr>
          <w:p w14:paraId="2F213F98">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白洋洋,杜书增,李信,朱海鲸,屈雷,郭振刚,杨青,蓝贤勇</w:t>
            </w:r>
          </w:p>
        </w:tc>
        <w:tc>
          <w:tcPr>
            <w:tcW w:w="790" w:type="dxa"/>
            <w:vAlign w:val="center"/>
          </w:tcPr>
          <w:p w14:paraId="29916497">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1</w:t>
            </w:r>
          </w:p>
        </w:tc>
        <w:tc>
          <w:tcPr>
            <w:tcW w:w="823" w:type="dxa"/>
            <w:vAlign w:val="center"/>
          </w:tcPr>
          <w:p w14:paraId="49CCBB70">
            <w:pPr>
              <w:pStyle w:val="7"/>
              <w:adjustRightInd w:val="0"/>
              <w:spacing w:after="50" w:line="320" w:lineRule="exact"/>
              <w:ind w:firstLine="0" w:firstLineChars="0"/>
              <w:jc w:val="center"/>
              <w:outlineLvl w:val="1"/>
              <w:rPr>
                <w:rFonts w:ascii="Times New Roman"/>
                <w:b w:val="0"/>
                <w:bCs w:val="0"/>
                <w:sz w:val="21"/>
                <w:szCs w:val="28"/>
              </w:rPr>
            </w:pPr>
            <w:r>
              <w:rPr>
                <w:rFonts w:ascii="Times New Roman"/>
                <w:b w:val="0"/>
                <w:bCs w:val="0"/>
                <w:sz w:val="21"/>
                <w:szCs w:val="28"/>
              </w:rPr>
              <w:t>中国知网（CNKI）</w:t>
            </w:r>
          </w:p>
        </w:tc>
        <w:tc>
          <w:tcPr>
            <w:tcW w:w="981" w:type="dxa"/>
            <w:vAlign w:val="center"/>
          </w:tcPr>
          <w:p w14:paraId="4E3F9592">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是</w:t>
            </w:r>
          </w:p>
        </w:tc>
      </w:tr>
      <w:tr w14:paraId="63930C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6951" w:type="dxa"/>
            <w:gridSpan w:val="7"/>
            <w:vAlign w:val="center"/>
          </w:tcPr>
          <w:p w14:paraId="09E460DD">
            <w:pPr>
              <w:pStyle w:val="7"/>
              <w:adjustRightInd w:val="0"/>
              <w:spacing w:after="50" w:line="320" w:lineRule="exact"/>
              <w:ind w:firstLine="0" w:firstLineChars="0"/>
              <w:jc w:val="center"/>
              <w:outlineLvl w:val="1"/>
              <w:rPr>
                <w:rFonts w:ascii="Times New Roman"/>
                <w:sz w:val="21"/>
                <w:szCs w:val="28"/>
              </w:rPr>
            </w:pPr>
            <w:r>
              <w:rPr>
                <w:rFonts w:ascii="Times New Roman"/>
                <w:sz w:val="21"/>
                <w:szCs w:val="28"/>
              </w:rPr>
              <w:t>合  计6</w:t>
            </w:r>
          </w:p>
        </w:tc>
        <w:tc>
          <w:tcPr>
            <w:tcW w:w="790" w:type="dxa"/>
            <w:vAlign w:val="center"/>
          </w:tcPr>
          <w:p w14:paraId="649D5696">
            <w:pPr>
              <w:pStyle w:val="7"/>
              <w:adjustRightInd w:val="0"/>
              <w:spacing w:after="50" w:line="320" w:lineRule="exact"/>
              <w:ind w:firstLine="0" w:firstLineChars="0"/>
              <w:jc w:val="center"/>
              <w:outlineLvl w:val="1"/>
              <w:rPr>
                <w:rFonts w:hint="default" w:ascii="Times New Roman" w:eastAsia="宋体"/>
                <w:sz w:val="21"/>
                <w:szCs w:val="28"/>
                <w:lang w:val="en-US" w:eastAsia="zh-CN"/>
              </w:rPr>
            </w:pPr>
            <w:r>
              <w:rPr>
                <w:rFonts w:hint="eastAsia" w:ascii="Times New Roman"/>
                <w:sz w:val="21"/>
                <w:szCs w:val="28"/>
                <w:lang w:val="en-US" w:eastAsia="zh-CN"/>
              </w:rPr>
              <w:t>71</w:t>
            </w:r>
          </w:p>
        </w:tc>
        <w:tc>
          <w:tcPr>
            <w:tcW w:w="823" w:type="dxa"/>
            <w:vAlign w:val="center"/>
          </w:tcPr>
          <w:p w14:paraId="0A6DC0A6">
            <w:pPr>
              <w:pStyle w:val="7"/>
              <w:adjustRightInd w:val="0"/>
              <w:spacing w:after="50" w:line="320" w:lineRule="exact"/>
              <w:ind w:firstLine="0" w:firstLineChars="0"/>
              <w:jc w:val="center"/>
              <w:outlineLvl w:val="1"/>
              <w:rPr>
                <w:rFonts w:ascii="Times New Roman"/>
                <w:sz w:val="21"/>
                <w:szCs w:val="28"/>
              </w:rPr>
            </w:pPr>
          </w:p>
        </w:tc>
        <w:tc>
          <w:tcPr>
            <w:tcW w:w="981" w:type="dxa"/>
            <w:vAlign w:val="center"/>
          </w:tcPr>
          <w:p w14:paraId="25C771DA">
            <w:pPr>
              <w:pStyle w:val="7"/>
              <w:adjustRightInd w:val="0"/>
              <w:spacing w:after="50" w:line="320" w:lineRule="exact"/>
              <w:ind w:firstLine="0" w:firstLineChars="0"/>
              <w:jc w:val="center"/>
              <w:outlineLvl w:val="1"/>
              <w:rPr>
                <w:rFonts w:ascii="Times New Roman"/>
                <w:sz w:val="21"/>
                <w:szCs w:val="28"/>
              </w:rPr>
            </w:pPr>
          </w:p>
        </w:tc>
      </w:tr>
    </w:tbl>
    <w:p w14:paraId="5960E110">
      <w:pPr>
        <w:pStyle w:val="7"/>
        <w:adjustRightInd w:val="0"/>
        <w:spacing w:line="320" w:lineRule="exact"/>
        <w:ind w:firstLine="0" w:firstLineChars="0"/>
        <w:rPr>
          <w:b/>
          <w:szCs w:val="24"/>
        </w:rPr>
      </w:pPr>
      <w:r>
        <w:rPr>
          <w:rFonts w:hint="eastAsia" w:ascii="Times New Roman"/>
          <w:sz w:val="21"/>
          <w:szCs w:val="21"/>
        </w:rPr>
        <w:t>注：如有在国内期刊发表的论文或国内出版的专著，可填不超过6篇。</w:t>
      </w:r>
    </w:p>
    <w:p w14:paraId="07E765F7">
      <w:pPr>
        <w:spacing w:before="156" w:beforeLines="50" w:line="360" w:lineRule="auto"/>
        <w:rPr>
          <w:b/>
          <w:sz w:val="24"/>
          <w:szCs w:val="24"/>
        </w:rPr>
      </w:pPr>
      <w:r>
        <w:rPr>
          <w:rFonts w:hint="eastAsia"/>
          <w:b/>
          <w:sz w:val="24"/>
          <w:szCs w:val="24"/>
        </w:rPr>
        <w:t>四、</w:t>
      </w:r>
      <w:r>
        <w:rPr>
          <w:b/>
          <w:sz w:val="24"/>
          <w:szCs w:val="24"/>
        </w:rPr>
        <w:t>主要完成人</w:t>
      </w:r>
    </w:p>
    <w:p w14:paraId="6A3E08CC">
      <w:pPr>
        <w:spacing w:before="156" w:beforeLines="50" w:line="360" w:lineRule="auto"/>
        <w:rPr>
          <w:rFonts w:ascii="Times New Roman" w:hAnsi="Times New Roman" w:eastAsia="宋体" w:cs="Times New Roman"/>
          <w:sz w:val="24"/>
          <w:szCs w:val="24"/>
        </w:rPr>
      </w:pPr>
      <w:r>
        <w:rPr>
          <w:rFonts w:ascii="Times New Roman" w:hAnsi="Times New Roman" w:eastAsia="宋体" w:cs="Times New Roman"/>
          <w:sz w:val="24"/>
          <w:szCs w:val="24"/>
        </w:rPr>
        <w:t>刘梅、蓝贤勇、潘传英、</w:t>
      </w:r>
      <w:r>
        <w:rPr>
          <w:rFonts w:hint="eastAsia" w:ascii="Times New Roman" w:hAnsi="Times New Roman" w:eastAsia="宋体" w:cs="Times New Roman"/>
          <w:sz w:val="24"/>
          <w:szCs w:val="24"/>
        </w:rPr>
        <w:t>程杰</w:t>
      </w:r>
      <w:r>
        <w:rPr>
          <w:rFonts w:ascii="Times New Roman" w:hAnsi="Times New Roman" w:eastAsia="宋体" w:cs="Times New Roman"/>
          <w:sz w:val="24"/>
          <w:szCs w:val="24"/>
        </w:rPr>
        <w:t>、白洋</w:t>
      </w:r>
      <w:r>
        <w:rPr>
          <w:rFonts w:hint="eastAsia" w:ascii="Times New Roman" w:hAnsi="Times New Roman" w:eastAsia="宋体" w:cs="Times New Roman"/>
          <w:sz w:val="24"/>
          <w:szCs w:val="24"/>
        </w:rPr>
        <w:t>洋</w:t>
      </w:r>
      <w:r>
        <w:rPr>
          <w:rFonts w:ascii="Times New Roman" w:hAnsi="Times New Roman" w:eastAsia="宋体" w:cs="Times New Roman"/>
          <w:sz w:val="24"/>
          <w:szCs w:val="24"/>
        </w:rPr>
        <w:t>、李铭</w:t>
      </w:r>
    </w:p>
    <w:p w14:paraId="0509FF77">
      <w:pPr>
        <w:spacing w:before="156" w:beforeLines="50" w:line="360" w:lineRule="auto"/>
        <w:rPr>
          <w:b/>
          <w:sz w:val="24"/>
          <w:szCs w:val="24"/>
        </w:rPr>
      </w:pPr>
      <w:r>
        <w:rPr>
          <w:rFonts w:hint="eastAsia"/>
          <w:b/>
          <w:sz w:val="24"/>
          <w:szCs w:val="24"/>
        </w:rPr>
        <w:t>五、主要完成单位</w:t>
      </w:r>
    </w:p>
    <w:p w14:paraId="0EDE5EDF">
      <w:pPr>
        <w:spacing w:before="156" w:beforeLines="50"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湖</w:t>
      </w:r>
      <w:r>
        <w:rPr>
          <w:rFonts w:ascii="Times New Roman" w:hAnsi="Times New Roman" w:eastAsia="宋体" w:cs="Times New Roman"/>
          <w:sz w:val="24"/>
          <w:szCs w:val="24"/>
        </w:rPr>
        <w:t>南农业大学、西北农林科技大学</w:t>
      </w:r>
    </w:p>
    <w:p w14:paraId="4C45AC24">
      <w:pPr>
        <w:spacing w:before="156" w:beforeLines="50" w:line="360" w:lineRule="auto"/>
        <w:rPr>
          <w:b/>
          <w:sz w:val="24"/>
          <w:szCs w:val="24"/>
        </w:rPr>
      </w:pPr>
      <w:r>
        <w:rPr>
          <w:rFonts w:hint="eastAsia"/>
          <w:b/>
          <w:sz w:val="24"/>
          <w:szCs w:val="24"/>
        </w:rPr>
        <w:t>六、</w:t>
      </w:r>
      <w:r>
        <w:rPr>
          <w:b/>
          <w:sz w:val="24"/>
          <w:szCs w:val="24"/>
        </w:rPr>
        <w:t>主要完成人合作关系说明。</w:t>
      </w:r>
    </w:p>
    <w:p w14:paraId="7EB4ECD6">
      <w:pPr>
        <w:spacing w:before="156" w:beforeLines="50" w:line="360" w:lineRule="auto"/>
        <w:ind w:firstLine="480" w:firstLineChars="200"/>
        <w:rPr>
          <w:rFonts w:ascii="Times New Roman" w:hAnsi="Times New Roman" w:eastAsia="宋体" w:cs="Times New Roman"/>
          <w:sz w:val="24"/>
          <w:szCs w:val="24"/>
        </w:rPr>
      </w:pPr>
      <w:r>
        <w:rPr>
          <w:rFonts w:hint="eastAsia" w:ascii="Times New Roman" w:hAnsi="宋体" w:cs="Times New Roman"/>
          <w:sz w:val="24"/>
          <w:szCs w:val="24"/>
        </w:rPr>
        <w:t>本项目由刘梅、蓝贤勇、潘传英、程杰、白洋洋、李铭共同完成。代表作</w:t>
      </w:r>
      <w:r>
        <w:rPr>
          <w:rFonts w:hint="eastAsia" w:ascii="Times New Roman" w:hAnsi="宋体" w:cs="Times New Roman"/>
          <w:sz w:val="24"/>
          <w:szCs w:val="24"/>
          <w:lang w:val="en-US" w:eastAsia="zh-CN"/>
        </w:rPr>
        <w:t>1</w:t>
      </w:r>
      <w:r>
        <w:rPr>
          <w:rFonts w:hint="eastAsia" w:ascii="Times New Roman" w:hAnsi="宋体" w:cs="Times New Roman"/>
          <w:sz w:val="24"/>
          <w:szCs w:val="24"/>
        </w:rPr>
        <w:t>由程杰、蓝贤勇等完成；代表作2由蓝贤勇、潘传英等完成；代表作</w:t>
      </w:r>
      <w:r>
        <w:rPr>
          <w:rFonts w:hint="eastAsia" w:ascii="Times New Roman" w:hAnsi="宋体" w:cs="Times New Roman"/>
          <w:sz w:val="24"/>
          <w:szCs w:val="24"/>
          <w:lang w:val="en-US" w:eastAsia="zh-CN"/>
        </w:rPr>
        <w:t>3</w:t>
      </w:r>
      <w:r>
        <w:rPr>
          <w:rFonts w:hint="eastAsia" w:ascii="Times New Roman" w:hAnsi="宋体" w:cs="Times New Roman"/>
          <w:sz w:val="24"/>
          <w:szCs w:val="24"/>
        </w:rPr>
        <w:t>由蓝贤勇、刘梅等完成；代表作</w:t>
      </w:r>
      <w:r>
        <w:rPr>
          <w:rFonts w:hint="eastAsia" w:ascii="Times New Roman" w:hAnsi="宋体" w:cs="Times New Roman"/>
          <w:sz w:val="24"/>
          <w:szCs w:val="24"/>
          <w:lang w:val="en-US" w:eastAsia="zh-CN"/>
        </w:rPr>
        <w:t>4</w:t>
      </w:r>
      <w:r>
        <w:rPr>
          <w:rFonts w:hint="eastAsia" w:ascii="Times New Roman" w:hAnsi="宋体" w:cs="Times New Roman"/>
          <w:sz w:val="24"/>
          <w:szCs w:val="24"/>
        </w:rPr>
        <w:t>由刘梅、潘传英等完成；代表作</w:t>
      </w:r>
      <w:r>
        <w:rPr>
          <w:rFonts w:hint="eastAsia" w:ascii="Times New Roman" w:hAnsi="宋体" w:cs="Times New Roman"/>
          <w:sz w:val="24"/>
          <w:szCs w:val="24"/>
          <w:lang w:val="en-US" w:eastAsia="zh-CN"/>
        </w:rPr>
        <w:t>5</w:t>
      </w:r>
      <w:r>
        <w:rPr>
          <w:rFonts w:hint="eastAsia" w:ascii="Times New Roman" w:hAnsi="宋体" w:cs="Times New Roman"/>
          <w:sz w:val="24"/>
          <w:szCs w:val="24"/>
        </w:rPr>
        <w:t>由潘传英、蓝贤勇、刘梅等完成；代表作6由白洋洋、蓝贤勇等完成。上述成果体现了六位完成人在山羊遗传育种领域的持续合作与共同产出。</w:t>
      </w:r>
    </w:p>
    <w:tbl>
      <w:tblPr>
        <w:tblStyle w:val="10"/>
        <w:tblW w:w="87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9"/>
        <w:gridCol w:w="1278"/>
        <w:gridCol w:w="1644"/>
        <w:gridCol w:w="992"/>
        <w:gridCol w:w="1843"/>
        <w:gridCol w:w="1060"/>
        <w:gridCol w:w="1064"/>
      </w:tblGrid>
      <w:tr w14:paraId="302C3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7" w:hRule="atLeast"/>
          <w:jc w:val="center"/>
        </w:trPr>
        <w:tc>
          <w:tcPr>
            <w:tcW w:w="819" w:type="dxa"/>
            <w:vAlign w:val="center"/>
          </w:tcPr>
          <w:p w14:paraId="66A83FC8">
            <w:pPr>
              <w:spacing w:before="156" w:beforeLines="50" w:after="156" w:afterLines="50"/>
              <w:jc w:val="center"/>
              <w:rPr>
                <w:rFonts w:ascii="Times New Roman" w:hAnsi="Times New Roman" w:cs="Times New Roman"/>
                <w:szCs w:val="21"/>
              </w:rPr>
            </w:pPr>
            <w:r>
              <w:rPr>
                <w:rFonts w:ascii="Times New Roman" w:hAnsi="Times New Roman" w:cs="Times New Roman"/>
                <w:szCs w:val="21"/>
              </w:rPr>
              <w:t>序号</w:t>
            </w:r>
          </w:p>
        </w:tc>
        <w:tc>
          <w:tcPr>
            <w:tcW w:w="1278" w:type="dxa"/>
            <w:vAlign w:val="center"/>
          </w:tcPr>
          <w:p w14:paraId="1E80FCCF">
            <w:pPr>
              <w:spacing w:before="156" w:beforeLines="50" w:after="156" w:afterLines="50"/>
              <w:jc w:val="center"/>
              <w:rPr>
                <w:rFonts w:ascii="Times New Roman" w:hAnsi="Times New Roman" w:cs="Times New Roman"/>
                <w:szCs w:val="21"/>
              </w:rPr>
            </w:pPr>
            <w:r>
              <w:rPr>
                <w:rFonts w:ascii="Times New Roman" w:hAnsi="Times New Roman" w:cs="Times New Roman"/>
                <w:szCs w:val="21"/>
              </w:rPr>
              <w:t>合作方式</w:t>
            </w:r>
          </w:p>
        </w:tc>
        <w:tc>
          <w:tcPr>
            <w:tcW w:w="1644" w:type="dxa"/>
            <w:vAlign w:val="center"/>
          </w:tcPr>
          <w:p w14:paraId="7F98E62F">
            <w:pPr>
              <w:spacing w:before="156" w:beforeLines="50" w:after="156" w:afterLines="50"/>
              <w:jc w:val="center"/>
              <w:rPr>
                <w:rFonts w:ascii="Times New Roman" w:hAnsi="Times New Roman" w:cs="Times New Roman"/>
                <w:szCs w:val="21"/>
              </w:rPr>
            </w:pPr>
            <w:r>
              <w:rPr>
                <w:rFonts w:ascii="Times New Roman" w:hAnsi="Times New Roman" w:cs="Times New Roman"/>
                <w:szCs w:val="21"/>
              </w:rPr>
              <w:t>合作者/排名</w:t>
            </w:r>
          </w:p>
        </w:tc>
        <w:tc>
          <w:tcPr>
            <w:tcW w:w="992" w:type="dxa"/>
            <w:vAlign w:val="center"/>
          </w:tcPr>
          <w:p w14:paraId="23BCB9A2">
            <w:pPr>
              <w:spacing w:before="156" w:beforeLines="50" w:after="156" w:afterLines="50"/>
              <w:jc w:val="center"/>
              <w:rPr>
                <w:rFonts w:ascii="Times New Roman" w:hAnsi="Times New Roman" w:cs="Times New Roman"/>
                <w:szCs w:val="21"/>
              </w:rPr>
            </w:pPr>
            <w:r>
              <w:rPr>
                <w:rFonts w:ascii="Times New Roman" w:hAnsi="Times New Roman" w:cs="Times New Roman"/>
                <w:szCs w:val="21"/>
              </w:rPr>
              <w:t>合作时间</w:t>
            </w:r>
          </w:p>
        </w:tc>
        <w:tc>
          <w:tcPr>
            <w:tcW w:w="1843" w:type="dxa"/>
            <w:vAlign w:val="center"/>
          </w:tcPr>
          <w:p w14:paraId="423ADC4E">
            <w:pPr>
              <w:spacing w:before="156" w:beforeLines="50" w:after="156" w:afterLines="50"/>
              <w:jc w:val="center"/>
              <w:rPr>
                <w:rFonts w:ascii="Times New Roman" w:hAnsi="Times New Roman" w:cs="Times New Roman"/>
                <w:szCs w:val="21"/>
              </w:rPr>
            </w:pPr>
            <w:r>
              <w:rPr>
                <w:rFonts w:ascii="Times New Roman" w:hAnsi="Times New Roman" w:cs="Times New Roman"/>
                <w:szCs w:val="21"/>
              </w:rPr>
              <w:t>合作成果</w:t>
            </w:r>
          </w:p>
        </w:tc>
        <w:tc>
          <w:tcPr>
            <w:tcW w:w="1060" w:type="dxa"/>
            <w:vAlign w:val="center"/>
          </w:tcPr>
          <w:p w14:paraId="2905B353">
            <w:pPr>
              <w:spacing w:before="156" w:beforeLines="50" w:after="156" w:afterLines="50"/>
              <w:jc w:val="center"/>
              <w:rPr>
                <w:rFonts w:ascii="Times New Roman" w:hAnsi="Times New Roman" w:cs="Times New Roman"/>
                <w:szCs w:val="21"/>
              </w:rPr>
            </w:pPr>
            <w:r>
              <w:rPr>
                <w:rFonts w:ascii="Times New Roman" w:hAnsi="Times New Roman" w:cs="Times New Roman"/>
                <w:szCs w:val="21"/>
              </w:rPr>
              <w:t>证明材料</w:t>
            </w:r>
          </w:p>
        </w:tc>
        <w:tc>
          <w:tcPr>
            <w:tcW w:w="1064" w:type="dxa"/>
            <w:vAlign w:val="center"/>
          </w:tcPr>
          <w:p w14:paraId="016993AA">
            <w:pPr>
              <w:spacing w:before="156" w:beforeLines="50" w:after="156" w:afterLines="50"/>
              <w:jc w:val="center"/>
              <w:rPr>
                <w:rFonts w:ascii="Times New Roman" w:hAnsi="Times New Roman" w:cs="Times New Roman"/>
                <w:szCs w:val="21"/>
              </w:rPr>
            </w:pPr>
            <w:r>
              <w:rPr>
                <w:rFonts w:ascii="Times New Roman" w:hAnsi="Times New Roman" w:cs="Times New Roman"/>
                <w:szCs w:val="21"/>
              </w:rPr>
              <w:t>备注</w:t>
            </w:r>
          </w:p>
        </w:tc>
      </w:tr>
      <w:tr w14:paraId="56105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19" w:type="dxa"/>
            <w:shd w:val="clear" w:color="auto" w:fill="auto"/>
            <w:vAlign w:val="top"/>
          </w:tcPr>
          <w:p w14:paraId="0D45F4F5">
            <w:pPr>
              <w:spacing w:before="156" w:beforeLines="50" w:after="156" w:afterLines="50"/>
              <w:rPr>
                <w:rFonts w:hint="eastAsia" w:ascii="Times New Roman" w:hAnsi="Times New Roman" w:eastAsia="宋体" w:cs="Times New Roman"/>
                <w:kern w:val="2"/>
                <w:sz w:val="18"/>
                <w:szCs w:val="18"/>
                <w:lang w:val="en-US" w:eastAsia="zh-CN" w:bidi="ar-SA"/>
              </w:rPr>
            </w:pPr>
            <w:r>
              <w:rPr>
                <w:rFonts w:hint="eastAsia" w:ascii="Times New Roman" w:hAnsi="Times New Roman" w:cs="Times New Roman"/>
                <w:sz w:val="18"/>
                <w:szCs w:val="18"/>
                <w:lang w:val="en-US" w:eastAsia="zh-CN"/>
              </w:rPr>
              <w:t>1</w:t>
            </w:r>
          </w:p>
        </w:tc>
        <w:tc>
          <w:tcPr>
            <w:tcW w:w="1278" w:type="dxa"/>
            <w:shd w:val="clear" w:color="auto" w:fill="auto"/>
            <w:vAlign w:val="top"/>
          </w:tcPr>
          <w:p w14:paraId="1FA7032E">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合作论文</w:t>
            </w:r>
          </w:p>
        </w:tc>
        <w:tc>
          <w:tcPr>
            <w:tcW w:w="1644" w:type="dxa"/>
            <w:shd w:val="clear" w:color="auto" w:fill="auto"/>
            <w:vAlign w:val="top"/>
          </w:tcPr>
          <w:p w14:paraId="2E42E61F">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蓝贤勇/7，刘梅/10</w:t>
            </w:r>
          </w:p>
        </w:tc>
        <w:tc>
          <w:tcPr>
            <w:tcW w:w="992" w:type="dxa"/>
            <w:shd w:val="clear" w:color="auto" w:fill="auto"/>
            <w:vAlign w:val="top"/>
          </w:tcPr>
          <w:p w14:paraId="4D86244F">
            <w:pPr>
              <w:spacing w:before="156" w:beforeLines="50" w:after="156" w:afterLines="50"/>
              <w:jc w:val="center"/>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202</w:t>
            </w:r>
            <w:r>
              <w:rPr>
                <w:rFonts w:hint="eastAsia" w:ascii="Times New Roman" w:hAnsi="Times New Roman" w:cs="Times New Roman"/>
                <w:sz w:val="18"/>
                <w:szCs w:val="18"/>
              </w:rPr>
              <w:t>0年1月至2022年1</w:t>
            </w:r>
            <w:r>
              <w:rPr>
                <w:rFonts w:ascii="Times New Roman" w:hAnsi="Times New Roman" w:cs="Times New Roman"/>
                <w:sz w:val="18"/>
                <w:szCs w:val="18"/>
              </w:rPr>
              <w:t>2</w:t>
            </w:r>
            <w:r>
              <w:rPr>
                <w:rFonts w:hint="eastAsia" w:ascii="Times New Roman" w:hAnsi="Times New Roman" w:cs="Times New Roman"/>
                <w:sz w:val="18"/>
                <w:szCs w:val="18"/>
              </w:rPr>
              <w:t>月</w:t>
            </w:r>
          </w:p>
        </w:tc>
        <w:tc>
          <w:tcPr>
            <w:tcW w:w="1843" w:type="dxa"/>
            <w:shd w:val="clear" w:color="auto" w:fill="auto"/>
            <w:vAlign w:val="top"/>
          </w:tcPr>
          <w:p w14:paraId="60C4F3D3">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Effects of Genetic Variation of the Sorting Nexin9 (SNX29) Gene on Growth Traits of Xiangdong Black Goat</w:t>
            </w:r>
          </w:p>
        </w:tc>
        <w:tc>
          <w:tcPr>
            <w:tcW w:w="1060" w:type="dxa"/>
            <w:shd w:val="clear" w:color="auto" w:fill="auto"/>
            <w:vAlign w:val="top"/>
          </w:tcPr>
          <w:p w14:paraId="28789E12">
            <w:pPr>
              <w:spacing w:before="156" w:beforeLines="50" w:after="156" w:afterLines="50"/>
              <w:rPr>
                <w:rFonts w:hint="eastAsia" w:ascii="Times New Roman" w:hAnsi="Times New Roman" w:eastAsia="宋体" w:cs="Times New Roman"/>
                <w:kern w:val="2"/>
                <w:sz w:val="18"/>
                <w:szCs w:val="18"/>
                <w:lang w:val="en-US" w:eastAsia="zh-CN" w:bidi="ar-SA"/>
              </w:rPr>
            </w:pPr>
            <w:r>
              <w:rPr>
                <w:rFonts w:ascii="Times New Roman" w:hAnsi="Times New Roman" w:cs="Times New Roman"/>
                <w:sz w:val="18"/>
                <w:szCs w:val="18"/>
              </w:rPr>
              <w:t>代表性论文</w:t>
            </w:r>
            <w:r>
              <w:rPr>
                <w:rFonts w:hint="eastAsia" w:ascii="Times New Roman" w:hAnsi="Times New Roman" w:cs="Times New Roman"/>
                <w:sz w:val="18"/>
                <w:szCs w:val="18"/>
                <w:lang w:val="en-US" w:eastAsia="zh-CN"/>
              </w:rPr>
              <w:t>1</w:t>
            </w:r>
          </w:p>
        </w:tc>
        <w:tc>
          <w:tcPr>
            <w:tcW w:w="1064" w:type="dxa"/>
            <w:shd w:val="clear" w:color="auto" w:fill="auto"/>
            <w:vAlign w:val="top"/>
          </w:tcPr>
          <w:p w14:paraId="0EFEAA07">
            <w:pPr>
              <w:spacing w:before="156" w:beforeLines="50" w:after="156" w:afterLines="50"/>
              <w:rPr>
                <w:rFonts w:ascii="Times New Roman" w:hAnsi="Times New Roman" w:eastAsia="宋体" w:cs="Times New Roman"/>
                <w:kern w:val="2"/>
                <w:sz w:val="18"/>
                <w:szCs w:val="18"/>
                <w:lang w:val="en-US" w:eastAsia="zh-CN" w:bidi="ar-SA"/>
              </w:rPr>
            </w:pPr>
          </w:p>
        </w:tc>
      </w:tr>
      <w:tr w14:paraId="733D7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19" w:type="dxa"/>
          </w:tcPr>
          <w:p w14:paraId="11A84249">
            <w:pPr>
              <w:spacing w:before="156" w:beforeLines="50" w:after="156" w:afterLines="50"/>
              <w:rPr>
                <w:rFonts w:ascii="Times New Roman" w:hAnsi="Times New Roman" w:cs="Times New Roman"/>
                <w:sz w:val="18"/>
                <w:szCs w:val="18"/>
              </w:rPr>
            </w:pPr>
            <w:r>
              <w:rPr>
                <w:rFonts w:ascii="Times New Roman" w:hAnsi="Times New Roman" w:cs="Times New Roman"/>
                <w:sz w:val="18"/>
                <w:szCs w:val="18"/>
              </w:rPr>
              <w:t>2</w:t>
            </w:r>
          </w:p>
        </w:tc>
        <w:tc>
          <w:tcPr>
            <w:tcW w:w="1278" w:type="dxa"/>
          </w:tcPr>
          <w:p w14:paraId="4E4289AF">
            <w:pPr>
              <w:spacing w:before="156" w:beforeLines="50" w:after="156" w:afterLines="50"/>
              <w:rPr>
                <w:rFonts w:ascii="Times New Roman" w:hAnsi="Times New Roman" w:cs="Times New Roman"/>
                <w:sz w:val="18"/>
                <w:szCs w:val="18"/>
              </w:rPr>
            </w:pPr>
            <w:r>
              <w:rPr>
                <w:rFonts w:ascii="Times New Roman" w:hAnsi="Times New Roman" w:cs="Times New Roman"/>
                <w:sz w:val="18"/>
                <w:szCs w:val="18"/>
              </w:rPr>
              <w:t>合作论文</w:t>
            </w:r>
          </w:p>
        </w:tc>
        <w:tc>
          <w:tcPr>
            <w:tcW w:w="1644" w:type="dxa"/>
          </w:tcPr>
          <w:p w14:paraId="47629890">
            <w:pPr>
              <w:spacing w:before="156" w:beforeLines="50" w:after="156" w:afterLines="50"/>
              <w:rPr>
                <w:rFonts w:ascii="Times New Roman" w:hAnsi="Times New Roman" w:cs="Times New Roman"/>
                <w:sz w:val="18"/>
                <w:szCs w:val="18"/>
              </w:rPr>
            </w:pPr>
            <w:r>
              <w:rPr>
                <w:rFonts w:ascii="Times New Roman" w:hAnsi="Times New Roman" w:cs="Times New Roman"/>
                <w:sz w:val="18"/>
                <w:szCs w:val="18"/>
              </w:rPr>
              <w:t>蓝贤勇/</w:t>
            </w:r>
            <w:r>
              <w:rPr>
                <w:rFonts w:hint="eastAsia" w:ascii="Times New Roman" w:hAnsi="Times New Roman" w:cs="Times New Roman"/>
                <w:sz w:val="18"/>
                <w:szCs w:val="18"/>
              </w:rPr>
              <w:t>10，潘传英/11</w:t>
            </w:r>
          </w:p>
        </w:tc>
        <w:tc>
          <w:tcPr>
            <w:tcW w:w="992" w:type="dxa"/>
          </w:tcPr>
          <w:p w14:paraId="2B45DB9F">
            <w:pPr>
              <w:spacing w:before="156" w:beforeLines="50" w:after="156" w:afterLines="50"/>
              <w:rPr>
                <w:rFonts w:ascii="Times New Roman" w:hAnsi="Times New Roman" w:cs="Times New Roman"/>
                <w:sz w:val="18"/>
                <w:szCs w:val="18"/>
              </w:rPr>
            </w:pPr>
            <w:r>
              <w:rPr>
                <w:rFonts w:ascii="Times New Roman" w:hAnsi="Times New Roman" w:cs="Times New Roman"/>
                <w:sz w:val="18"/>
                <w:szCs w:val="18"/>
              </w:rPr>
              <w:t>202</w:t>
            </w:r>
            <w:r>
              <w:rPr>
                <w:rFonts w:hint="eastAsia" w:ascii="Times New Roman" w:hAnsi="Times New Roman" w:cs="Times New Roman"/>
                <w:sz w:val="18"/>
                <w:szCs w:val="18"/>
              </w:rPr>
              <w:t>0年1月至2023年1</w:t>
            </w:r>
            <w:r>
              <w:rPr>
                <w:rFonts w:ascii="Times New Roman" w:hAnsi="Times New Roman" w:cs="Times New Roman"/>
                <w:sz w:val="18"/>
                <w:szCs w:val="18"/>
              </w:rPr>
              <w:t>2</w:t>
            </w:r>
            <w:r>
              <w:rPr>
                <w:rFonts w:hint="eastAsia" w:ascii="Times New Roman" w:hAnsi="Times New Roman" w:cs="Times New Roman"/>
                <w:sz w:val="18"/>
                <w:szCs w:val="18"/>
              </w:rPr>
              <w:t>月</w:t>
            </w:r>
          </w:p>
        </w:tc>
        <w:tc>
          <w:tcPr>
            <w:tcW w:w="1843" w:type="dxa"/>
          </w:tcPr>
          <w:p w14:paraId="43EB6F77">
            <w:pPr>
              <w:spacing w:before="156" w:beforeLines="50" w:after="156" w:afterLines="50"/>
              <w:rPr>
                <w:rFonts w:ascii="Times New Roman" w:hAnsi="Times New Roman" w:cs="Times New Roman"/>
                <w:sz w:val="18"/>
                <w:szCs w:val="18"/>
              </w:rPr>
            </w:pPr>
            <w:r>
              <w:rPr>
                <w:rFonts w:ascii="Times New Roman" w:hAnsi="Times New Roman" w:eastAsia="宋体" w:cs="Times New Roman"/>
                <w:szCs w:val="28"/>
              </w:rPr>
              <w:t>Whole-genome resequencing reveals the genomic diversity and signatures of selection in Romanov sheep</w:t>
            </w:r>
          </w:p>
        </w:tc>
        <w:tc>
          <w:tcPr>
            <w:tcW w:w="1060" w:type="dxa"/>
          </w:tcPr>
          <w:p w14:paraId="15321AD8">
            <w:pPr>
              <w:spacing w:before="156" w:beforeLines="50" w:after="156" w:afterLines="50"/>
              <w:rPr>
                <w:rFonts w:ascii="Times New Roman" w:hAnsi="Times New Roman" w:cs="Times New Roman"/>
                <w:sz w:val="18"/>
                <w:szCs w:val="18"/>
              </w:rPr>
            </w:pPr>
            <w:r>
              <w:rPr>
                <w:rFonts w:ascii="Times New Roman" w:hAnsi="Times New Roman" w:cs="Times New Roman"/>
                <w:sz w:val="18"/>
                <w:szCs w:val="18"/>
              </w:rPr>
              <w:t>代表性论文2</w:t>
            </w:r>
          </w:p>
        </w:tc>
        <w:tc>
          <w:tcPr>
            <w:tcW w:w="1064" w:type="dxa"/>
          </w:tcPr>
          <w:p w14:paraId="53B8895E">
            <w:pPr>
              <w:spacing w:before="156" w:beforeLines="50" w:after="156" w:afterLines="50"/>
              <w:rPr>
                <w:rFonts w:ascii="Times New Roman" w:hAnsi="Times New Roman" w:cs="Times New Roman"/>
                <w:sz w:val="18"/>
                <w:szCs w:val="18"/>
              </w:rPr>
            </w:pPr>
          </w:p>
        </w:tc>
      </w:tr>
      <w:tr w14:paraId="5C14E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19" w:type="dxa"/>
            <w:shd w:val="clear" w:color="auto" w:fill="auto"/>
            <w:vAlign w:val="top"/>
          </w:tcPr>
          <w:p w14:paraId="0E124E69">
            <w:pPr>
              <w:spacing w:before="156" w:beforeLines="50" w:after="156" w:afterLines="50"/>
              <w:rPr>
                <w:rFonts w:hint="eastAsia" w:ascii="Times New Roman" w:hAnsi="Times New Roman" w:eastAsia="宋体" w:cs="Times New Roman"/>
                <w:kern w:val="2"/>
                <w:sz w:val="18"/>
                <w:szCs w:val="18"/>
                <w:lang w:val="en-US" w:eastAsia="zh-CN" w:bidi="ar-SA"/>
              </w:rPr>
            </w:pPr>
            <w:r>
              <w:rPr>
                <w:rFonts w:hint="eastAsia" w:ascii="Times New Roman" w:hAnsi="Times New Roman" w:cs="Times New Roman"/>
                <w:sz w:val="18"/>
                <w:szCs w:val="18"/>
                <w:lang w:val="en-US" w:eastAsia="zh-CN"/>
              </w:rPr>
              <w:t>3</w:t>
            </w:r>
          </w:p>
        </w:tc>
        <w:tc>
          <w:tcPr>
            <w:tcW w:w="1278" w:type="dxa"/>
            <w:shd w:val="clear" w:color="auto" w:fill="auto"/>
            <w:vAlign w:val="top"/>
          </w:tcPr>
          <w:p w14:paraId="63D76F5E">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合作论文</w:t>
            </w:r>
          </w:p>
        </w:tc>
        <w:tc>
          <w:tcPr>
            <w:tcW w:w="1644" w:type="dxa"/>
            <w:shd w:val="clear" w:color="auto" w:fill="auto"/>
            <w:vAlign w:val="top"/>
          </w:tcPr>
          <w:p w14:paraId="736081AC">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程杰/1，蓝贤勇/10</w:t>
            </w:r>
          </w:p>
        </w:tc>
        <w:tc>
          <w:tcPr>
            <w:tcW w:w="992" w:type="dxa"/>
            <w:shd w:val="clear" w:color="auto" w:fill="auto"/>
            <w:vAlign w:val="top"/>
          </w:tcPr>
          <w:p w14:paraId="0B489451">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20</w:t>
            </w:r>
            <w:r>
              <w:rPr>
                <w:rFonts w:hint="eastAsia" w:ascii="Times New Roman" w:hAnsi="Times New Roman" w:cs="Times New Roman"/>
                <w:sz w:val="18"/>
                <w:szCs w:val="18"/>
              </w:rPr>
              <w:t>18年1月至2020年1</w:t>
            </w:r>
            <w:r>
              <w:rPr>
                <w:rFonts w:ascii="Times New Roman" w:hAnsi="Times New Roman" w:cs="Times New Roman"/>
                <w:sz w:val="18"/>
                <w:szCs w:val="18"/>
              </w:rPr>
              <w:t>2</w:t>
            </w:r>
            <w:r>
              <w:rPr>
                <w:rFonts w:hint="eastAsia" w:ascii="Times New Roman" w:hAnsi="Times New Roman" w:cs="Times New Roman"/>
                <w:sz w:val="18"/>
                <w:szCs w:val="18"/>
              </w:rPr>
              <w:t>月</w:t>
            </w:r>
          </w:p>
        </w:tc>
        <w:tc>
          <w:tcPr>
            <w:tcW w:w="1843" w:type="dxa"/>
            <w:shd w:val="clear" w:color="auto" w:fill="auto"/>
            <w:vAlign w:val="top"/>
          </w:tcPr>
          <w:p w14:paraId="300FBE1C">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Population structure, genetic diversity, and selective signature of Chaka sheep revealed by whole genome sequencing.</w:t>
            </w:r>
          </w:p>
        </w:tc>
        <w:tc>
          <w:tcPr>
            <w:tcW w:w="1060" w:type="dxa"/>
            <w:shd w:val="clear" w:color="auto" w:fill="auto"/>
            <w:vAlign w:val="top"/>
          </w:tcPr>
          <w:p w14:paraId="157D23A1">
            <w:pPr>
              <w:spacing w:before="156" w:beforeLines="50" w:after="156" w:afterLines="50"/>
              <w:rPr>
                <w:rFonts w:hint="eastAsia" w:ascii="Times New Roman" w:hAnsi="Times New Roman" w:eastAsia="宋体" w:cs="Times New Roman"/>
                <w:kern w:val="2"/>
                <w:sz w:val="18"/>
                <w:szCs w:val="18"/>
                <w:lang w:val="en-US" w:eastAsia="zh-CN" w:bidi="ar-SA"/>
              </w:rPr>
            </w:pPr>
            <w:r>
              <w:rPr>
                <w:rFonts w:ascii="Times New Roman" w:hAnsi="Times New Roman" w:cs="Times New Roman"/>
                <w:sz w:val="18"/>
                <w:szCs w:val="18"/>
              </w:rPr>
              <w:t>代表性论文</w:t>
            </w:r>
            <w:r>
              <w:rPr>
                <w:rFonts w:hint="eastAsia" w:ascii="Times New Roman" w:hAnsi="Times New Roman" w:cs="Times New Roman"/>
                <w:sz w:val="18"/>
                <w:szCs w:val="18"/>
                <w:lang w:val="en-US" w:eastAsia="zh-CN"/>
              </w:rPr>
              <w:t>3</w:t>
            </w:r>
          </w:p>
        </w:tc>
        <w:tc>
          <w:tcPr>
            <w:tcW w:w="1064" w:type="dxa"/>
            <w:shd w:val="clear" w:color="auto" w:fill="auto"/>
            <w:vAlign w:val="top"/>
          </w:tcPr>
          <w:p w14:paraId="7B143D97">
            <w:pPr>
              <w:spacing w:before="156" w:beforeLines="50" w:after="156" w:afterLines="50"/>
              <w:rPr>
                <w:rFonts w:ascii="Times New Roman" w:hAnsi="Times New Roman" w:eastAsia="宋体" w:cs="Times New Roman"/>
                <w:kern w:val="2"/>
                <w:sz w:val="18"/>
                <w:szCs w:val="18"/>
                <w:lang w:val="en-US" w:eastAsia="zh-CN" w:bidi="ar-SA"/>
              </w:rPr>
            </w:pPr>
          </w:p>
        </w:tc>
      </w:tr>
      <w:tr w14:paraId="72F83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19" w:type="dxa"/>
            <w:shd w:val="clear" w:color="auto" w:fill="auto"/>
            <w:vAlign w:val="top"/>
          </w:tcPr>
          <w:p w14:paraId="18F15BC7">
            <w:pPr>
              <w:spacing w:before="156" w:beforeLines="50" w:after="156" w:afterLines="50"/>
              <w:rPr>
                <w:rFonts w:hint="default" w:ascii="Times New Roman" w:hAnsi="Times New Roman" w:eastAsia="宋体" w:cs="Times New Roman"/>
                <w:kern w:val="2"/>
                <w:sz w:val="18"/>
                <w:szCs w:val="18"/>
                <w:lang w:val="en-US" w:eastAsia="zh-CN" w:bidi="ar-SA"/>
              </w:rPr>
            </w:pPr>
            <w:r>
              <w:rPr>
                <w:rFonts w:hint="eastAsia" w:ascii="Times New Roman" w:hAnsi="Times New Roman" w:cs="Times New Roman"/>
                <w:kern w:val="2"/>
                <w:sz w:val="18"/>
                <w:szCs w:val="18"/>
                <w:lang w:val="en-US" w:eastAsia="zh-CN" w:bidi="ar-SA"/>
              </w:rPr>
              <w:t>4</w:t>
            </w:r>
          </w:p>
        </w:tc>
        <w:tc>
          <w:tcPr>
            <w:tcW w:w="1278" w:type="dxa"/>
            <w:shd w:val="clear" w:color="auto" w:fill="auto"/>
            <w:vAlign w:val="top"/>
          </w:tcPr>
          <w:p w14:paraId="18662D57">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合作论文</w:t>
            </w:r>
          </w:p>
        </w:tc>
        <w:tc>
          <w:tcPr>
            <w:tcW w:w="1644" w:type="dxa"/>
            <w:shd w:val="clear" w:color="auto" w:fill="auto"/>
            <w:vAlign w:val="top"/>
          </w:tcPr>
          <w:p w14:paraId="0D13DA66">
            <w:pPr>
              <w:spacing w:before="156" w:beforeLines="50" w:after="156" w:afterLines="50"/>
              <w:rPr>
                <w:rFonts w:ascii="Times New Roman" w:hAnsi="Times New Roman" w:cs="Times New Roman"/>
                <w:sz w:val="18"/>
                <w:szCs w:val="18"/>
              </w:rPr>
            </w:pPr>
            <w:r>
              <w:rPr>
                <w:rFonts w:ascii="Times New Roman" w:hAnsi="Times New Roman" w:cs="Times New Roman"/>
                <w:sz w:val="18"/>
                <w:szCs w:val="18"/>
              </w:rPr>
              <w:t>刘梅/7，潘传英/8</w:t>
            </w:r>
          </w:p>
          <w:p w14:paraId="74DDAD60">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 xml:space="preserve"> </w:t>
            </w:r>
          </w:p>
        </w:tc>
        <w:tc>
          <w:tcPr>
            <w:tcW w:w="992" w:type="dxa"/>
            <w:shd w:val="clear" w:color="auto" w:fill="auto"/>
            <w:vAlign w:val="top"/>
          </w:tcPr>
          <w:p w14:paraId="05A0DEC0">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202</w:t>
            </w:r>
            <w:r>
              <w:rPr>
                <w:rFonts w:hint="eastAsia" w:ascii="Times New Roman" w:hAnsi="Times New Roman" w:cs="Times New Roman"/>
                <w:sz w:val="18"/>
                <w:szCs w:val="18"/>
              </w:rPr>
              <w:t>1年1月至2023年1</w:t>
            </w:r>
            <w:r>
              <w:rPr>
                <w:rFonts w:ascii="Times New Roman" w:hAnsi="Times New Roman" w:cs="Times New Roman"/>
                <w:sz w:val="18"/>
                <w:szCs w:val="18"/>
              </w:rPr>
              <w:t>2</w:t>
            </w:r>
            <w:r>
              <w:rPr>
                <w:rFonts w:hint="eastAsia" w:ascii="Times New Roman" w:hAnsi="Times New Roman" w:cs="Times New Roman"/>
                <w:sz w:val="18"/>
                <w:szCs w:val="18"/>
              </w:rPr>
              <w:t>月</w:t>
            </w:r>
          </w:p>
        </w:tc>
        <w:tc>
          <w:tcPr>
            <w:tcW w:w="1843" w:type="dxa"/>
            <w:shd w:val="clear" w:color="auto" w:fill="auto"/>
            <w:vAlign w:val="top"/>
          </w:tcPr>
          <w:p w14:paraId="030C35F1">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 xml:space="preserve">Detection distribution of CNVs of SNX29 in three goat breeds and their associations with growth traits </w:t>
            </w:r>
          </w:p>
        </w:tc>
        <w:tc>
          <w:tcPr>
            <w:tcW w:w="1060" w:type="dxa"/>
            <w:shd w:val="clear" w:color="auto" w:fill="auto"/>
            <w:vAlign w:val="top"/>
          </w:tcPr>
          <w:p w14:paraId="0823FE26">
            <w:pPr>
              <w:spacing w:before="156" w:beforeLines="50" w:after="156" w:afterLines="50"/>
              <w:rPr>
                <w:rFonts w:hint="eastAsia" w:ascii="Times New Roman" w:hAnsi="Times New Roman" w:eastAsia="宋体" w:cs="Times New Roman"/>
                <w:kern w:val="2"/>
                <w:sz w:val="18"/>
                <w:szCs w:val="18"/>
                <w:lang w:val="en-US" w:eastAsia="zh-CN" w:bidi="ar-SA"/>
              </w:rPr>
            </w:pPr>
            <w:r>
              <w:rPr>
                <w:rFonts w:ascii="Times New Roman" w:hAnsi="Times New Roman" w:cs="Times New Roman"/>
                <w:sz w:val="18"/>
                <w:szCs w:val="18"/>
              </w:rPr>
              <w:t>代表性论文</w:t>
            </w:r>
            <w:r>
              <w:rPr>
                <w:rFonts w:hint="eastAsia" w:ascii="Times New Roman" w:hAnsi="Times New Roman" w:cs="Times New Roman"/>
                <w:sz w:val="18"/>
                <w:szCs w:val="18"/>
                <w:lang w:val="en-US" w:eastAsia="zh-CN"/>
              </w:rPr>
              <w:t>4</w:t>
            </w:r>
          </w:p>
        </w:tc>
        <w:tc>
          <w:tcPr>
            <w:tcW w:w="1064" w:type="dxa"/>
            <w:shd w:val="clear" w:color="auto" w:fill="auto"/>
            <w:vAlign w:val="top"/>
          </w:tcPr>
          <w:p w14:paraId="54FF3B17">
            <w:pPr>
              <w:spacing w:before="156" w:beforeLines="50" w:after="156" w:afterLines="50"/>
              <w:rPr>
                <w:rFonts w:ascii="Times New Roman" w:hAnsi="Times New Roman" w:eastAsia="宋体" w:cs="Times New Roman"/>
                <w:kern w:val="2"/>
                <w:sz w:val="18"/>
                <w:szCs w:val="18"/>
                <w:lang w:val="en-US" w:eastAsia="zh-CN" w:bidi="ar-SA"/>
              </w:rPr>
            </w:pPr>
          </w:p>
        </w:tc>
      </w:tr>
      <w:tr w14:paraId="03A68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19" w:type="dxa"/>
            <w:shd w:val="clear" w:color="auto" w:fill="auto"/>
            <w:vAlign w:val="top"/>
          </w:tcPr>
          <w:p w14:paraId="5E80B62F">
            <w:pPr>
              <w:spacing w:before="156" w:beforeLines="50" w:after="156" w:afterLines="50"/>
              <w:rPr>
                <w:rFonts w:hint="eastAsia" w:ascii="Times New Roman" w:hAnsi="Times New Roman" w:eastAsia="宋体" w:cs="Times New Roman"/>
                <w:kern w:val="2"/>
                <w:sz w:val="18"/>
                <w:szCs w:val="18"/>
                <w:lang w:val="en-US" w:eastAsia="zh-CN" w:bidi="ar-SA"/>
              </w:rPr>
            </w:pPr>
            <w:r>
              <w:rPr>
                <w:rFonts w:hint="eastAsia" w:ascii="Times New Roman" w:hAnsi="Times New Roman" w:cs="Times New Roman"/>
                <w:sz w:val="18"/>
                <w:szCs w:val="18"/>
                <w:lang w:val="en-US" w:eastAsia="zh-CN"/>
              </w:rPr>
              <w:t>5</w:t>
            </w:r>
          </w:p>
        </w:tc>
        <w:tc>
          <w:tcPr>
            <w:tcW w:w="1278" w:type="dxa"/>
            <w:shd w:val="clear" w:color="auto" w:fill="auto"/>
            <w:vAlign w:val="top"/>
          </w:tcPr>
          <w:p w14:paraId="55CB4E61">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合作论文</w:t>
            </w:r>
          </w:p>
        </w:tc>
        <w:tc>
          <w:tcPr>
            <w:tcW w:w="1644" w:type="dxa"/>
            <w:shd w:val="clear" w:color="auto" w:fill="auto"/>
            <w:vAlign w:val="top"/>
          </w:tcPr>
          <w:p w14:paraId="7BC2AC47">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潘传英/7，蓝贤勇/9，刘梅/10</w:t>
            </w:r>
          </w:p>
        </w:tc>
        <w:tc>
          <w:tcPr>
            <w:tcW w:w="992" w:type="dxa"/>
            <w:shd w:val="clear" w:color="auto" w:fill="auto"/>
            <w:vAlign w:val="top"/>
          </w:tcPr>
          <w:p w14:paraId="1460070B">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202</w:t>
            </w:r>
            <w:r>
              <w:rPr>
                <w:rFonts w:hint="eastAsia" w:ascii="Times New Roman" w:hAnsi="Times New Roman" w:cs="Times New Roman"/>
                <w:sz w:val="18"/>
                <w:szCs w:val="18"/>
              </w:rPr>
              <w:t>0年1月至2022年1</w:t>
            </w:r>
            <w:r>
              <w:rPr>
                <w:rFonts w:ascii="Times New Roman" w:hAnsi="Times New Roman" w:cs="Times New Roman"/>
                <w:sz w:val="18"/>
                <w:szCs w:val="18"/>
              </w:rPr>
              <w:t>2</w:t>
            </w:r>
            <w:r>
              <w:rPr>
                <w:rFonts w:hint="eastAsia" w:ascii="Times New Roman" w:hAnsi="Times New Roman" w:cs="Times New Roman"/>
                <w:sz w:val="18"/>
                <w:szCs w:val="18"/>
              </w:rPr>
              <w:t>月</w:t>
            </w:r>
          </w:p>
        </w:tc>
        <w:tc>
          <w:tcPr>
            <w:tcW w:w="1843" w:type="dxa"/>
            <w:shd w:val="clear" w:color="auto" w:fill="auto"/>
            <w:vAlign w:val="top"/>
          </w:tcPr>
          <w:p w14:paraId="0B994992">
            <w:pPr>
              <w:spacing w:before="156" w:beforeLines="50" w:after="156" w:afterLines="50"/>
              <w:rPr>
                <w:rFonts w:ascii="Times New Roman" w:hAnsi="Times New Roman" w:eastAsia="宋体" w:cs="Times New Roman"/>
                <w:kern w:val="2"/>
                <w:sz w:val="18"/>
                <w:szCs w:val="18"/>
                <w:lang w:val="en-US" w:eastAsia="zh-CN" w:bidi="ar-SA"/>
              </w:rPr>
            </w:pPr>
            <w:r>
              <w:rPr>
                <w:rFonts w:ascii="Times New Roman" w:hAnsi="Times New Roman" w:cs="Times New Roman"/>
                <w:sz w:val="18"/>
                <w:szCs w:val="18"/>
              </w:rPr>
              <w:t>Effect of indel variants within the sorting nexin 29 (snx29) gene on growth traits of goats</w:t>
            </w:r>
          </w:p>
        </w:tc>
        <w:tc>
          <w:tcPr>
            <w:tcW w:w="1060" w:type="dxa"/>
            <w:shd w:val="clear" w:color="auto" w:fill="auto"/>
            <w:vAlign w:val="top"/>
          </w:tcPr>
          <w:p w14:paraId="75FC63A4">
            <w:pPr>
              <w:spacing w:before="156" w:beforeLines="50" w:after="156" w:afterLines="50"/>
              <w:rPr>
                <w:rFonts w:hint="eastAsia" w:ascii="Times New Roman" w:hAnsi="Times New Roman" w:eastAsia="宋体" w:cs="Times New Roman"/>
                <w:kern w:val="2"/>
                <w:sz w:val="18"/>
                <w:szCs w:val="18"/>
                <w:lang w:val="en-US" w:eastAsia="zh-CN" w:bidi="ar-SA"/>
              </w:rPr>
            </w:pPr>
            <w:r>
              <w:rPr>
                <w:rFonts w:ascii="Times New Roman" w:hAnsi="Times New Roman" w:cs="Times New Roman"/>
                <w:sz w:val="18"/>
                <w:szCs w:val="18"/>
              </w:rPr>
              <w:t>代表性论文</w:t>
            </w:r>
            <w:r>
              <w:rPr>
                <w:rFonts w:hint="eastAsia" w:ascii="Times New Roman" w:hAnsi="Times New Roman" w:cs="Times New Roman"/>
                <w:sz w:val="18"/>
                <w:szCs w:val="18"/>
                <w:lang w:val="en-US" w:eastAsia="zh-CN"/>
              </w:rPr>
              <w:t>5</w:t>
            </w:r>
          </w:p>
        </w:tc>
        <w:tc>
          <w:tcPr>
            <w:tcW w:w="1064" w:type="dxa"/>
            <w:shd w:val="clear" w:color="auto" w:fill="auto"/>
            <w:vAlign w:val="top"/>
          </w:tcPr>
          <w:p w14:paraId="58CE216A">
            <w:pPr>
              <w:spacing w:before="156" w:beforeLines="50" w:after="156" w:afterLines="50"/>
              <w:rPr>
                <w:rFonts w:ascii="Times New Roman" w:hAnsi="Times New Roman" w:eastAsia="宋体" w:cs="Times New Roman"/>
                <w:kern w:val="2"/>
                <w:sz w:val="18"/>
                <w:szCs w:val="18"/>
                <w:lang w:val="en-US" w:eastAsia="zh-CN" w:bidi="ar-SA"/>
              </w:rPr>
            </w:pPr>
          </w:p>
        </w:tc>
      </w:tr>
      <w:tr w14:paraId="6265B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jc w:val="center"/>
        </w:trPr>
        <w:tc>
          <w:tcPr>
            <w:tcW w:w="819" w:type="dxa"/>
          </w:tcPr>
          <w:p w14:paraId="64F39721">
            <w:pPr>
              <w:spacing w:before="156" w:beforeLines="50" w:after="156" w:afterLines="50"/>
              <w:rPr>
                <w:rFonts w:ascii="Times New Roman" w:hAnsi="Times New Roman" w:cs="Times New Roman"/>
                <w:sz w:val="18"/>
                <w:szCs w:val="18"/>
              </w:rPr>
            </w:pPr>
            <w:r>
              <w:rPr>
                <w:rFonts w:ascii="Times New Roman" w:hAnsi="Times New Roman" w:cs="Times New Roman"/>
                <w:sz w:val="18"/>
                <w:szCs w:val="18"/>
              </w:rPr>
              <w:t>6</w:t>
            </w:r>
          </w:p>
        </w:tc>
        <w:tc>
          <w:tcPr>
            <w:tcW w:w="1278" w:type="dxa"/>
          </w:tcPr>
          <w:p w14:paraId="055F0760">
            <w:pPr>
              <w:spacing w:before="156" w:beforeLines="50" w:after="156" w:afterLines="50"/>
              <w:rPr>
                <w:rFonts w:ascii="Times New Roman" w:hAnsi="Times New Roman" w:cs="Times New Roman"/>
                <w:sz w:val="18"/>
                <w:szCs w:val="18"/>
              </w:rPr>
            </w:pPr>
            <w:r>
              <w:rPr>
                <w:rFonts w:ascii="Times New Roman" w:hAnsi="Times New Roman" w:cs="Times New Roman"/>
                <w:sz w:val="18"/>
                <w:szCs w:val="18"/>
              </w:rPr>
              <w:t>合作论文</w:t>
            </w:r>
          </w:p>
        </w:tc>
        <w:tc>
          <w:tcPr>
            <w:tcW w:w="1644" w:type="dxa"/>
          </w:tcPr>
          <w:p w14:paraId="52F479F5">
            <w:pPr>
              <w:spacing w:before="156" w:beforeLines="50" w:after="156" w:afterLines="50"/>
              <w:rPr>
                <w:rFonts w:ascii="Times New Roman" w:hAnsi="Times New Roman" w:cs="Times New Roman"/>
                <w:sz w:val="18"/>
                <w:szCs w:val="18"/>
              </w:rPr>
            </w:pPr>
            <w:r>
              <w:rPr>
                <w:rFonts w:ascii="Times New Roman" w:hAnsi="Times New Roman" w:cs="Times New Roman"/>
                <w:sz w:val="18"/>
                <w:szCs w:val="18"/>
              </w:rPr>
              <w:t>白洋洋/1，蓝贤勇/8</w:t>
            </w:r>
          </w:p>
        </w:tc>
        <w:tc>
          <w:tcPr>
            <w:tcW w:w="992" w:type="dxa"/>
          </w:tcPr>
          <w:p w14:paraId="70991EC1">
            <w:pPr>
              <w:spacing w:before="156" w:beforeLines="50" w:after="156" w:afterLines="50"/>
              <w:rPr>
                <w:rFonts w:ascii="Times New Roman" w:hAnsi="Times New Roman" w:cs="Times New Roman"/>
                <w:sz w:val="18"/>
                <w:szCs w:val="18"/>
              </w:rPr>
            </w:pPr>
            <w:r>
              <w:rPr>
                <w:rFonts w:ascii="Times New Roman" w:hAnsi="Times New Roman" w:cs="Times New Roman"/>
                <w:sz w:val="18"/>
                <w:szCs w:val="18"/>
              </w:rPr>
              <w:t>202</w:t>
            </w:r>
            <w:r>
              <w:rPr>
                <w:rFonts w:hint="eastAsia" w:ascii="Times New Roman" w:hAnsi="Times New Roman" w:cs="Times New Roman"/>
                <w:sz w:val="18"/>
                <w:szCs w:val="18"/>
              </w:rPr>
              <w:t>2年1月至2024年1</w:t>
            </w:r>
            <w:r>
              <w:rPr>
                <w:rFonts w:ascii="Times New Roman" w:hAnsi="Times New Roman" w:cs="Times New Roman"/>
                <w:sz w:val="18"/>
                <w:szCs w:val="18"/>
              </w:rPr>
              <w:t>2</w:t>
            </w:r>
            <w:r>
              <w:rPr>
                <w:rFonts w:hint="eastAsia" w:ascii="Times New Roman" w:hAnsi="Times New Roman" w:cs="Times New Roman"/>
                <w:sz w:val="18"/>
                <w:szCs w:val="18"/>
              </w:rPr>
              <w:t>月</w:t>
            </w:r>
          </w:p>
        </w:tc>
        <w:tc>
          <w:tcPr>
            <w:tcW w:w="1843" w:type="dxa"/>
          </w:tcPr>
          <w:p w14:paraId="15BB595E">
            <w:pPr>
              <w:spacing w:before="156" w:beforeLines="50" w:after="156" w:afterLines="50"/>
              <w:rPr>
                <w:rFonts w:ascii="Times New Roman" w:hAnsi="Times New Roman" w:cs="Times New Roman"/>
                <w:sz w:val="18"/>
                <w:szCs w:val="18"/>
              </w:rPr>
            </w:pPr>
            <w:r>
              <w:rPr>
                <w:rFonts w:ascii="Times New Roman" w:hAnsi="Times New Roman" w:cs="Times New Roman"/>
                <w:sz w:val="18"/>
                <w:szCs w:val="18"/>
              </w:rPr>
              <w:t>山羊PPP3CA基因拷贝数变异及其与生长性状的关联分析</w:t>
            </w:r>
          </w:p>
        </w:tc>
        <w:tc>
          <w:tcPr>
            <w:tcW w:w="1060" w:type="dxa"/>
          </w:tcPr>
          <w:p w14:paraId="1182DBEF">
            <w:pPr>
              <w:spacing w:before="156" w:beforeLines="50" w:after="156" w:afterLines="50"/>
              <w:rPr>
                <w:rFonts w:ascii="Times New Roman" w:hAnsi="Times New Roman" w:cs="Times New Roman"/>
                <w:sz w:val="18"/>
                <w:szCs w:val="18"/>
              </w:rPr>
            </w:pPr>
            <w:r>
              <w:rPr>
                <w:rFonts w:ascii="Times New Roman" w:hAnsi="Times New Roman" w:cs="Times New Roman"/>
                <w:sz w:val="18"/>
                <w:szCs w:val="18"/>
              </w:rPr>
              <w:t>代表性论文6</w:t>
            </w:r>
          </w:p>
        </w:tc>
        <w:tc>
          <w:tcPr>
            <w:tcW w:w="1064" w:type="dxa"/>
          </w:tcPr>
          <w:p w14:paraId="4F553163">
            <w:pPr>
              <w:spacing w:before="156" w:beforeLines="50" w:after="156" w:afterLines="50"/>
              <w:rPr>
                <w:rFonts w:ascii="Times New Roman" w:hAnsi="Times New Roman" w:cs="Times New Roman"/>
                <w:sz w:val="18"/>
                <w:szCs w:val="18"/>
              </w:rPr>
            </w:pPr>
          </w:p>
        </w:tc>
      </w:tr>
    </w:tbl>
    <w:p w14:paraId="4BFA5C01">
      <w:pPr>
        <w:pStyle w:val="31"/>
        <w:rPr>
          <w:sz w:val="18"/>
          <w:szCs w:val="1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F324BC9"/>
    <w:rsid w:val="4FEC1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3">
    <w:name w:val="heading 1"/>
    <w:basedOn w:val="1"/>
    <w:next w:val="1"/>
    <w:link w:val="35"/>
    <w:qFormat/>
    <w:uiPriority w:val="9"/>
    <w:pPr>
      <w:keepNext/>
      <w:keepLines/>
      <w:spacing w:before="340" w:after="330" w:line="578" w:lineRule="auto"/>
      <w:outlineLvl w:val="0"/>
    </w:pPr>
    <w:rPr>
      <w:b/>
      <w:bCs/>
      <w:kern w:val="44"/>
      <w:sz w:val="44"/>
      <w:szCs w:val="44"/>
    </w:rPr>
  </w:style>
  <w:style w:type="paragraph" w:styleId="4">
    <w:name w:val="heading 2"/>
    <w:basedOn w:val="1"/>
    <w:link w:val="18"/>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5">
    <w:name w:val="heading 3"/>
    <w:basedOn w:val="1"/>
    <w:next w:val="1"/>
    <w:link w:val="20"/>
    <w:qFormat/>
    <w:uiPriority w:val="9"/>
    <w:pPr>
      <w:keepNext/>
      <w:keepLines/>
      <w:spacing w:before="260" w:after="260" w:line="416" w:lineRule="auto"/>
      <w:outlineLvl w:val="2"/>
    </w:pPr>
    <w:rPr>
      <w:b/>
      <w:bCs/>
      <w:sz w:val="32"/>
      <w:szCs w:val="32"/>
    </w:rPr>
  </w:style>
  <w:style w:type="character" w:default="1" w:styleId="11">
    <w:name w:val="Default Paragraph Font"/>
    <w:uiPriority w:val="1"/>
  </w:style>
  <w:style w:type="table" w:default="1" w:styleId="10">
    <w:name w:val="Normal Table"/>
    <w:qFormat/>
    <w:uiPriority w:val="99"/>
    <w:tblPr>
      <w:tblCellMar>
        <w:top w:w="0" w:type="dxa"/>
        <w:left w:w="108" w:type="dxa"/>
        <w:bottom w:w="0" w:type="dxa"/>
        <w:right w:w="108" w:type="dxa"/>
      </w:tblCellMar>
    </w:tblPr>
  </w:style>
  <w:style w:type="paragraph" w:styleId="2">
    <w:name w:val="Body Text"/>
    <w:basedOn w:val="1"/>
    <w:link w:val="34"/>
    <w:qFormat/>
    <w:uiPriority w:val="99"/>
    <w:pPr>
      <w:spacing w:after="120"/>
    </w:pPr>
  </w:style>
  <w:style w:type="paragraph" w:styleId="6">
    <w:name w:val="annotation text"/>
    <w:basedOn w:val="1"/>
    <w:qFormat/>
    <w:uiPriority w:val="99"/>
    <w:pPr>
      <w:jc w:val="left"/>
    </w:pPr>
  </w:style>
  <w:style w:type="paragraph" w:styleId="7">
    <w:name w:val="Plain Text"/>
    <w:basedOn w:val="1"/>
    <w:link w:val="16"/>
    <w:qFormat/>
    <w:uiPriority w:val="0"/>
    <w:pPr>
      <w:spacing w:line="360" w:lineRule="auto"/>
      <w:ind w:firstLine="480" w:firstLineChars="200"/>
    </w:pPr>
    <w:rPr>
      <w:rFonts w:ascii="仿宋_GB2312" w:hAnsi="Times New Roman" w:eastAsia="宋体" w:cs="Times New Roman"/>
      <w:sz w:val="24"/>
      <w:szCs w:val="20"/>
    </w:rPr>
  </w:style>
  <w:style w:type="paragraph" w:styleId="8">
    <w:name w:val="footer"/>
    <w:basedOn w:val="1"/>
    <w:link w:val="15"/>
    <w:qFormat/>
    <w:uiPriority w:val="99"/>
    <w:pPr>
      <w:tabs>
        <w:tab w:val="center" w:pos="4153"/>
        <w:tab w:val="right" w:pos="8306"/>
      </w:tabs>
      <w:snapToGrid w:val="0"/>
      <w:jc w:val="left"/>
    </w:pPr>
    <w:rPr>
      <w:sz w:val="18"/>
      <w:szCs w:val="18"/>
    </w:rPr>
  </w:style>
  <w:style w:type="paragraph" w:styleId="9">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character" w:styleId="12">
    <w:name w:val="Strong"/>
    <w:basedOn w:val="11"/>
    <w:qFormat/>
    <w:uiPriority w:val="22"/>
    <w:rPr>
      <w:b/>
    </w:rPr>
  </w:style>
  <w:style w:type="character" w:styleId="13">
    <w:name w:val="Hyperlink"/>
    <w:basedOn w:val="11"/>
    <w:qFormat/>
    <w:uiPriority w:val="99"/>
    <w:rPr>
      <w:color w:val="0000FF"/>
      <w:u w:val="single"/>
    </w:rPr>
  </w:style>
  <w:style w:type="character" w:customStyle="1" w:styleId="14">
    <w:name w:val="页眉 字符"/>
    <w:basedOn w:val="11"/>
    <w:link w:val="9"/>
    <w:qFormat/>
    <w:uiPriority w:val="99"/>
    <w:rPr>
      <w:sz w:val="18"/>
      <w:szCs w:val="18"/>
    </w:rPr>
  </w:style>
  <w:style w:type="character" w:customStyle="1" w:styleId="15">
    <w:name w:val="页脚 字符"/>
    <w:basedOn w:val="11"/>
    <w:link w:val="8"/>
    <w:qFormat/>
    <w:uiPriority w:val="99"/>
    <w:rPr>
      <w:sz w:val="18"/>
      <w:szCs w:val="18"/>
    </w:rPr>
  </w:style>
  <w:style w:type="character" w:customStyle="1" w:styleId="16">
    <w:name w:val="纯文本 字符"/>
    <w:basedOn w:val="11"/>
    <w:link w:val="7"/>
    <w:qFormat/>
    <w:uiPriority w:val="0"/>
    <w:rPr>
      <w:rFonts w:ascii="仿宋_GB2312" w:hAnsi="Times New Roman" w:eastAsia="宋体" w:cs="Times New Roman"/>
      <w:sz w:val="24"/>
      <w:szCs w:val="20"/>
    </w:rPr>
  </w:style>
  <w:style w:type="paragraph" w:styleId="17">
    <w:name w:val="List Paragraph"/>
    <w:basedOn w:val="1"/>
    <w:qFormat/>
    <w:uiPriority w:val="34"/>
    <w:pPr>
      <w:ind w:firstLine="420" w:firstLineChars="200"/>
    </w:pPr>
  </w:style>
  <w:style w:type="character" w:customStyle="1" w:styleId="18">
    <w:name w:val="标题 2 字符"/>
    <w:basedOn w:val="11"/>
    <w:link w:val="4"/>
    <w:qFormat/>
    <w:uiPriority w:val="9"/>
    <w:rPr>
      <w:rFonts w:ascii="宋体" w:hAnsi="宋体" w:eastAsia="宋体" w:cs="宋体"/>
      <w:b/>
      <w:bCs/>
      <w:kern w:val="0"/>
      <w:sz w:val="36"/>
      <w:szCs w:val="36"/>
    </w:rPr>
  </w:style>
  <w:style w:type="character" w:customStyle="1" w:styleId="19">
    <w:name w:val="ng-star-inserted"/>
    <w:basedOn w:val="11"/>
    <w:qFormat/>
    <w:uiPriority w:val="0"/>
  </w:style>
  <w:style w:type="character" w:customStyle="1" w:styleId="20">
    <w:name w:val="标题 3 字符"/>
    <w:basedOn w:val="11"/>
    <w:link w:val="5"/>
    <w:qFormat/>
    <w:uiPriority w:val="9"/>
    <w:rPr>
      <w:b/>
      <w:bCs/>
      <w:sz w:val="32"/>
      <w:szCs w:val="32"/>
    </w:rPr>
  </w:style>
  <w:style w:type="character" w:customStyle="1" w:styleId="21">
    <w:name w:val="margin-right-20--reversible"/>
    <w:basedOn w:val="11"/>
    <w:qFormat/>
    <w:uiPriority w:val="0"/>
  </w:style>
  <w:style w:type="character" w:customStyle="1" w:styleId="22">
    <w:name w:val="value"/>
    <w:basedOn w:val="11"/>
    <w:qFormat/>
    <w:uiPriority w:val="0"/>
  </w:style>
  <w:style w:type="character" w:customStyle="1" w:styleId="23">
    <w:name w:val="author"/>
    <w:basedOn w:val="11"/>
    <w:qFormat/>
    <w:uiPriority w:val="0"/>
  </w:style>
  <w:style w:type="character" w:customStyle="1" w:styleId="24">
    <w:name w:val="articletitle"/>
    <w:basedOn w:val="11"/>
    <w:qFormat/>
    <w:uiPriority w:val="0"/>
  </w:style>
  <w:style w:type="character" w:customStyle="1" w:styleId="25">
    <w:name w:val="pubyear"/>
    <w:basedOn w:val="11"/>
    <w:qFormat/>
    <w:uiPriority w:val="0"/>
  </w:style>
  <w:style w:type="character" w:customStyle="1" w:styleId="26">
    <w:name w:val="vol"/>
    <w:basedOn w:val="11"/>
    <w:qFormat/>
    <w:uiPriority w:val="0"/>
  </w:style>
  <w:style w:type="character" w:customStyle="1" w:styleId="27">
    <w:name w:val="pagefirst"/>
    <w:basedOn w:val="11"/>
    <w:qFormat/>
    <w:uiPriority w:val="0"/>
  </w:style>
  <w:style w:type="character" w:customStyle="1" w:styleId="28">
    <w:name w:val="pagelast"/>
    <w:basedOn w:val="11"/>
    <w:qFormat/>
    <w:uiPriority w:val="0"/>
  </w:style>
  <w:style w:type="paragraph" w:customStyle="1" w:styleId="29">
    <w:name w:val="EndNote Bibliography Title"/>
    <w:basedOn w:val="1"/>
    <w:link w:val="30"/>
    <w:qFormat/>
    <w:uiPriority w:val="0"/>
    <w:pPr>
      <w:jc w:val="center"/>
    </w:pPr>
    <w:rPr>
      <w:rFonts w:ascii="Calibri" w:hAnsi="Calibri" w:cs="Calibri"/>
      <w:sz w:val="20"/>
    </w:rPr>
  </w:style>
  <w:style w:type="character" w:customStyle="1" w:styleId="30">
    <w:name w:val="EndNote Bibliography Title 字符"/>
    <w:basedOn w:val="11"/>
    <w:link w:val="29"/>
    <w:qFormat/>
    <w:uiPriority w:val="0"/>
    <w:rPr>
      <w:rFonts w:ascii="Calibri" w:hAnsi="Calibri" w:cs="Calibri"/>
      <w:sz w:val="20"/>
    </w:rPr>
  </w:style>
  <w:style w:type="paragraph" w:customStyle="1" w:styleId="31">
    <w:name w:val="EndNote Bibliography"/>
    <w:basedOn w:val="1"/>
    <w:link w:val="32"/>
    <w:qFormat/>
    <w:uiPriority w:val="0"/>
    <w:rPr>
      <w:rFonts w:ascii="Calibri" w:hAnsi="Calibri" w:cs="Calibri"/>
      <w:sz w:val="20"/>
    </w:rPr>
  </w:style>
  <w:style w:type="character" w:customStyle="1" w:styleId="32">
    <w:name w:val="EndNote Bibliography 字符"/>
    <w:basedOn w:val="11"/>
    <w:link w:val="31"/>
    <w:qFormat/>
    <w:uiPriority w:val="0"/>
    <w:rPr>
      <w:rFonts w:ascii="Calibri" w:hAnsi="Calibri" w:cs="Calibri"/>
      <w:sz w:val="20"/>
    </w:rPr>
  </w:style>
  <w:style w:type="character" w:customStyle="1" w:styleId="33">
    <w:name w:val="未处理的提及1"/>
    <w:basedOn w:val="11"/>
    <w:qFormat/>
    <w:uiPriority w:val="99"/>
    <w:rPr>
      <w:color w:val="605E5C"/>
      <w:shd w:val="clear" w:color="auto" w:fill="E1DFDD"/>
    </w:rPr>
  </w:style>
  <w:style w:type="character" w:customStyle="1" w:styleId="34">
    <w:name w:val="正文文本 字符"/>
    <w:basedOn w:val="11"/>
    <w:link w:val="2"/>
    <w:qFormat/>
    <w:uiPriority w:val="99"/>
    <w:rPr>
      <w:kern w:val="2"/>
      <w:sz w:val="21"/>
      <w:szCs w:val="22"/>
    </w:rPr>
  </w:style>
  <w:style w:type="character" w:customStyle="1" w:styleId="35">
    <w:name w:val="标题 1 字符"/>
    <w:basedOn w:val="11"/>
    <w:link w:val="3"/>
    <w:qFormat/>
    <w:uiPriority w:val="9"/>
    <w:rPr>
      <w:b/>
      <w:bCs/>
      <w:kern w:val="44"/>
      <w:sz w:val="44"/>
      <w:szCs w:val="44"/>
    </w:rPr>
  </w:style>
  <w:style w:type="paragraph" w:customStyle="1" w:styleId="36">
    <w:name w:val="Revision"/>
    <w:qFormat/>
    <w:uiPriority w:val="99"/>
    <w:rPr>
      <w:rFonts w:ascii="Calibri" w:hAnsi="Calibri" w:eastAsia="宋体" w:cs="宋体"/>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1817</Words>
  <Characters>3376</Characters>
  <Paragraphs>167</Paragraphs>
  <TotalTime>85</TotalTime>
  <ScaleCrop>false</ScaleCrop>
  <LinksUpToDate>false</LinksUpToDate>
  <CharactersWithSpaces>3667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2026-11-02T10:16:00Z</dcterms:created>
  <dc:creator>S. Wu</dc:creator>
  <cp:lastModifiedBy>Administrator</cp:lastModifiedBy>
  <cp:lastPrinted>2020-06-02T01:37:00Z</cp:lastPrinted>
  <dcterms:modified xsi:type="dcterms:W3CDTF">2026-11-03T00:17:20Z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63997D12BE094EC6A75078F7543D28CD_13</vt:lpwstr>
  </property>
  <property fmtid="{D5CDD505-2E9C-101B-9397-08002B2CF9AE}" pid="4" name="KSOTemplateDocerSaveRecord">
    <vt:lpwstr>eyJoZGlkIjoiZjY4MzFjMTc0ODMyOTUyZmNlYzBiODZhMGE2NjQ1YTQiLCJ1c2VySWQiOiI3NTA0MTE0NjAifQ==</vt:lpwstr>
  </property>
</Properties>
</file>